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48CD" w14:textId="4511FC4A" w:rsidR="005F286E" w:rsidRPr="003B7300" w:rsidRDefault="000F042C" w:rsidP="00CF6E3E">
      <w:pPr>
        <w:pStyle w:val="RSCH1"/>
        <w:rPr>
          <w:color w:val="991E66"/>
        </w:rPr>
      </w:pPr>
      <w:r w:rsidRPr="000F042C">
        <w:rPr>
          <w:color w:val="991E66"/>
        </w:rPr>
        <w:t xml:space="preserve">Explore the nitrogen oxides: </w:t>
      </w:r>
      <w:r w:rsidRPr="007F2926">
        <w:rPr>
          <w:color w:val="991E66"/>
        </w:rPr>
        <w:t>Avogadro’s</w:t>
      </w:r>
      <w:r w:rsidRPr="000F042C">
        <w:rPr>
          <w:color w:val="991E66"/>
        </w:rPr>
        <w:t xml:space="preserve"> law revisited</w:t>
      </w:r>
    </w:p>
    <w:p w14:paraId="665E0536" w14:textId="1E3D23D1" w:rsidR="001A278F" w:rsidRPr="000878DA" w:rsidRDefault="00905E09" w:rsidP="001841A2">
      <w:pPr>
        <w:pStyle w:val="RSCBasictext"/>
        <w:rPr>
          <w:rStyle w:val="Hyperlink"/>
          <w:rFonts w:eastAsia="Calibri" w:cs="Calibri"/>
          <w:b/>
          <w:color w:val="222222"/>
          <w:u w:val="none"/>
          <w:lang w:eastAsia="en-GB"/>
        </w:rPr>
      </w:pPr>
      <w:bookmarkStart w:id="0" w:name="_Hlk133917238"/>
      <w:r w:rsidRPr="000878DA">
        <w:rPr>
          <w:lang w:eastAsia="en-GB"/>
        </w:rPr>
        <w:t>Th</w:t>
      </w:r>
      <w:r w:rsidR="00104CB2">
        <w:rPr>
          <w:lang w:eastAsia="en-GB"/>
        </w:rPr>
        <w:t>ese notes</w:t>
      </w:r>
      <w:r w:rsidRPr="000878DA">
        <w:rPr>
          <w:lang w:eastAsia="en-GB"/>
        </w:rPr>
        <w:t xml:space="preserve"> </w:t>
      </w:r>
      <w:r w:rsidR="00104CB2">
        <w:rPr>
          <w:lang w:eastAsia="en-GB"/>
        </w:rPr>
        <w:t>accompany</w:t>
      </w:r>
      <w:r w:rsidR="001A278F" w:rsidRPr="000878DA">
        <w:rPr>
          <w:lang w:eastAsia="en-GB"/>
        </w:rPr>
        <w:t xml:space="preserve"> the </w:t>
      </w:r>
      <w:r w:rsidR="00104CB2">
        <w:rPr>
          <w:lang w:eastAsia="en-GB"/>
        </w:rPr>
        <w:t>video demonstration</w:t>
      </w:r>
      <w:r w:rsidR="001A278F" w:rsidRPr="000878DA">
        <w:rPr>
          <w:lang w:eastAsia="en-GB"/>
        </w:rPr>
        <w:t xml:space="preserve"> </w:t>
      </w:r>
      <w:r w:rsidR="004F30E6" w:rsidRPr="004F30E6">
        <w:rPr>
          <w:rFonts w:eastAsia="Calibri" w:cs="Calibri"/>
          <w:b/>
          <w:color w:val="222222"/>
        </w:rPr>
        <w:t>Avogadro’s law revisited</w:t>
      </w:r>
      <w:r w:rsidR="00104CB2">
        <w:rPr>
          <w:rFonts w:eastAsia="Calibri" w:cs="Calibri"/>
          <w:b/>
          <w:color w:val="222222"/>
        </w:rPr>
        <w:t xml:space="preserve"> </w:t>
      </w:r>
      <w:r w:rsidR="00B63F7E">
        <w:rPr>
          <w:lang w:eastAsia="en-GB"/>
        </w:rPr>
        <w:t>from</w:t>
      </w:r>
      <w:r w:rsidR="00B63F7E" w:rsidRPr="000878DA">
        <w:rPr>
          <w:lang w:eastAsia="en-GB"/>
        </w:rPr>
        <w:t xml:space="preserve"> </w:t>
      </w:r>
      <w:r w:rsidR="00B63F7E" w:rsidRPr="000878DA">
        <w:rPr>
          <w:i/>
          <w:iCs/>
          <w:lang w:eastAsia="en-GB"/>
        </w:rPr>
        <w:t>Education in Chemistry</w:t>
      </w:r>
      <w:r w:rsidR="00B63F7E" w:rsidRPr="000878DA">
        <w:rPr>
          <w:lang w:eastAsia="en-GB"/>
        </w:rPr>
        <w:t xml:space="preserve"> </w:t>
      </w:r>
      <w:r w:rsidR="001A278F" w:rsidRPr="000878DA">
        <w:rPr>
          <w:lang w:eastAsia="en-GB"/>
        </w:rPr>
        <w:t xml:space="preserve">which </w:t>
      </w:r>
      <w:r w:rsidR="00B63F7E">
        <w:rPr>
          <w:lang w:eastAsia="en-GB"/>
        </w:rPr>
        <w:t xml:space="preserve">you </w:t>
      </w:r>
      <w:r w:rsidR="001A278F" w:rsidRPr="000878DA">
        <w:rPr>
          <w:lang w:eastAsia="en-GB"/>
        </w:rPr>
        <w:t xml:space="preserve">can view at: </w:t>
      </w:r>
      <w:hyperlink r:id="rId11" w:history="1">
        <w:r w:rsidR="0040160A" w:rsidRPr="0040160A">
          <w:rPr>
            <w:rStyle w:val="Hyperlink"/>
            <w:color w:val="8E1055"/>
          </w:rPr>
          <w:t>rsc.li/43sA4Ug</w:t>
        </w:r>
      </w:hyperlink>
      <w:r w:rsidR="0040160A">
        <w:rPr>
          <w:color w:val="8E1055"/>
        </w:rPr>
        <w:t>.</w:t>
      </w:r>
      <w:r w:rsidR="0040160A" w:rsidRPr="0040160A">
        <w:rPr>
          <w:color w:val="8E1055"/>
        </w:rPr>
        <w:t xml:space="preserve"> </w:t>
      </w:r>
    </w:p>
    <w:p w14:paraId="2827908F" w14:textId="69CB9E63" w:rsidR="00142949" w:rsidRDefault="00142949" w:rsidP="001841A2">
      <w:pPr>
        <w:pStyle w:val="RSCBasictext"/>
        <w:rPr>
          <w:b/>
          <w:bCs/>
          <w:lang w:eastAsia="en-GB"/>
        </w:rPr>
      </w:pPr>
      <w:r w:rsidRPr="00142949">
        <w:rPr>
          <w:lang w:eastAsia="en-GB"/>
        </w:rPr>
        <w:t>The oxides of nitrogen provide a rich reservoir from which examiners can pull questions on bonding, oxidation states, rates of reaction, acid–base chemistry, equilibria and stoichiometry. Students therefore benefit from seeing these reactions first</w:t>
      </w:r>
      <w:r w:rsidR="00194B88">
        <w:rPr>
          <w:lang w:eastAsia="en-GB"/>
        </w:rPr>
        <w:t>-</w:t>
      </w:r>
      <w:r w:rsidRPr="00142949">
        <w:rPr>
          <w:lang w:eastAsia="en-GB"/>
        </w:rPr>
        <w:t>hand. Chemist and author Bruce Mattson’s </w:t>
      </w:r>
      <w:r w:rsidRPr="008835B8">
        <w:rPr>
          <w:lang w:eastAsia="en-GB"/>
        </w:rPr>
        <w:t>microscale approach to producing and reacting gases</w:t>
      </w:r>
      <w:r w:rsidRPr="00142949">
        <w:rPr>
          <w:lang w:eastAsia="en-GB"/>
        </w:rPr>
        <w:t> is an excellent way to do this</w:t>
      </w:r>
      <w:r w:rsidR="0061529D">
        <w:rPr>
          <w:lang w:eastAsia="en-GB"/>
        </w:rPr>
        <w:t xml:space="preserve"> – watch his YouTube videos for more information (</w:t>
      </w:r>
      <w:hyperlink r:id="rId12" w:history="1">
        <w:r w:rsidR="007F2926" w:rsidRPr="007F2926">
          <w:rPr>
            <w:rStyle w:val="Hyperlink"/>
            <w:color w:val="991E66"/>
            <w:lang w:eastAsia="en-GB"/>
          </w:rPr>
          <w:t>bit.ly/47tDhUV</w:t>
        </w:r>
      </w:hyperlink>
      <w:r w:rsidR="007F2926">
        <w:rPr>
          <w:lang w:eastAsia="en-GB"/>
        </w:rPr>
        <w:t>)</w:t>
      </w:r>
      <w:r w:rsidRPr="00142949">
        <w:rPr>
          <w:lang w:eastAsia="en-GB"/>
        </w:rPr>
        <w:t>. You can use nitrogen monoxide (</w:t>
      </w:r>
      <w:r w:rsidRPr="008A2002">
        <w:rPr>
          <w:rFonts w:ascii="Cambria Math" w:hAnsi="Cambria Math"/>
          <w:sz w:val="24"/>
          <w:szCs w:val="24"/>
          <w:lang w:eastAsia="en-GB"/>
        </w:rPr>
        <w:t>NO</w:t>
      </w:r>
      <w:r w:rsidRPr="00142949">
        <w:rPr>
          <w:lang w:eastAsia="en-GB"/>
        </w:rPr>
        <w:t>) and oxygen (</w:t>
      </w:r>
      <w:r w:rsidRPr="008A2002">
        <w:rPr>
          <w:rFonts w:ascii="Cambria Math" w:hAnsi="Cambria Math"/>
          <w:sz w:val="24"/>
          <w:szCs w:val="24"/>
          <w:lang w:eastAsia="en-GB"/>
        </w:rPr>
        <w:t>O</w:t>
      </w:r>
      <w:r w:rsidRPr="008A2002">
        <w:rPr>
          <w:rFonts w:ascii="Cambria Math" w:hAnsi="Cambria Math"/>
          <w:sz w:val="24"/>
          <w:szCs w:val="24"/>
          <w:vertAlign w:val="subscript"/>
          <w:lang w:eastAsia="en-GB"/>
        </w:rPr>
        <w:t>2</w:t>
      </w:r>
      <w:r w:rsidRPr="00142949">
        <w:rPr>
          <w:lang w:eastAsia="en-GB"/>
        </w:rPr>
        <w:t>) to demonstrate Avogadro’s law. You can then use the nitrogen dioxide (</w:t>
      </w:r>
      <w:r w:rsidRPr="008A2002">
        <w:rPr>
          <w:rFonts w:ascii="Cambria Math" w:hAnsi="Cambria Math"/>
          <w:sz w:val="24"/>
          <w:szCs w:val="24"/>
          <w:lang w:eastAsia="en-GB"/>
        </w:rPr>
        <w:t>NO</w:t>
      </w:r>
      <w:r w:rsidRPr="008A2002">
        <w:rPr>
          <w:rFonts w:ascii="Cambria Math" w:hAnsi="Cambria Math"/>
          <w:sz w:val="24"/>
          <w:szCs w:val="24"/>
          <w:vertAlign w:val="subscript"/>
          <w:lang w:eastAsia="en-GB"/>
        </w:rPr>
        <w:t>2</w:t>
      </w:r>
      <w:r w:rsidRPr="00142949">
        <w:rPr>
          <w:lang w:eastAsia="en-GB"/>
        </w:rPr>
        <w:t>) you produce to show a counterintuitive example of equilibria chemistry – video coming soon.</w:t>
      </w:r>
    </w:p>
    <w:p w14:paraId="3D4CC486" w14:textId="1AD63E7A" w:rsidR="0009292F" w:rsidRDefault="003979ED" w:rsidP="00104CB2">
      <w:pPr>
        <w:pStyle w:val="RSCH2"/>
        <w:rPr>
          <w:color w:val="8E1055"/>
          <w:lang w:eastAsia="en-GB"/>
        </w:rPr>
      </w:pPr>
      <w:r>
        <w:rPr>
          <w:color w:val="8E1055"/>
          <w:lang w:eastAsia="en-GB"/>
        </w:rPr>
        <w:t>Curriculum links</w:t>
      </w:r>
    </w:p>
    <w:p w14:paraId="7FF87B87" w14:textId="77777777" w:rsidR="005718A5" w:rsidRPr="005718A5" w:rsidRDefault="005718A5" w:rsidP="001841A2">
      <w:pPr>
        <w:pStyle w:val="RSCBasictext"/>
        <w:rPr>
          <w:lang w:eastAsia="en-GB"/>
        </w:rPr>
      </w:pPr>
      <w:r w:rsidRPr="005718A5">
        <w:rPr>
          <w:lang w:eastAsia="en-GB"/>
        </w:rPr>
        <w:t>Use this demonstration with your 14–16 and post-16 learners when teaching the nitrogen oxides and Avogadro’s law.</w:t>
      </w:r>
    </w:p>
    <w:p w14:paraId="4449B9EA" w14:textId="0E5D186F" w:rsidR="00104CB2" w:rsidRDefault="000F042C" w:rsidP="00104CB2">
      <w:pPr>
        <w:pStyle w:val="RSCH2"/>
        <w:rPr>
          <w:color w:val="8E1055"/>
          <w:lang w:eastAsia="en-GB"/>
        </w:rPr>
      </w:pPr>
      <w:r>
        <w:rPr>
          <w:color w:val="8E1055"/>
          <w:lang w:eastAsia="en-GB"/>
        </w:rPr>
        <w:t>Kit</w:t>
      </w:r>
    </w:p>
    <w:p w14:paraId="5FE5C849" w14:textId="465AF01E" w:rsidR="00D16FC5" w:rsidRDefault="00D16FC5" w:rsidP="00D16FC5">
      <w:pPr>
        <w:pStyle w:val="RSCBulletedlist"/>
        <w:numPr>
          <w:ilvl w:val="0"/>
          <w:numId w:val="22"/>
        </w:numPr>
        <w:spacing w:line="256" w:lineRule="auto"/>
        <w:rPr>
          <w:lang w:eastAsia="en-GB"/>
        </w:rPr>
      </w:pPr>
      <w:r>
        <w:rPr>
          <w:lang w:eastAsia="en-GB"/>
        </w:rPr>
        <w:t>2 × weighing boat</w:t>
      </w:r>
    </w:p>
    <w:p w14:paraId="0D418432" w14:textId="77777777" w:rsidR="00D16FC5" w:rsidRDefault="00D16FC5" w:rsidP="00D16FC5">
      <w:pPr>
        <w:pStyle w:val="RSCBulletedlist"/>
        <w:numPr>
          <w:ilvl w:val="0"/>
          <w:numId w:val="22"/>
        </w:numPr>
        <w:spacing w:line="256" w:lineRule="auto"/>
        <w:rPr>
          <w:lang w:eastAsia="en-GB"/>
        </w:rPr>
      </w:pPr>
      <w:r>
        <w:rPr>
          <w:lang w:eastAsia="en-GB"/>
        </w:rPr>
        <w:t>2 × sample vial lid</w:t>
      </w:r>
    </w:p>
    <w:p w14:paraId="25792651" w14:textId="77777777" w:rsidR="00D16FC5" w:rsidRDefault="00D16FC5" w:rsidP="00D16FC5">
      <w:pPr>
        <w:pStyle w:val="RSCBulletedlist"/>
        <w:numPr>
          <w:ilvl w:val="0"/>
          <w:numId w:val="22"/>
        </w:numPr>
        <w:spacing w:line="256" w:lineRule="auto"/>
        <w:rPr>
          <w:lang w:eastAsia="en-GB"/>
        </w:rPr>
      </w:pPr>
      <w:r>
        <w:rPr>
          <w:lang w:eastAsia="en-GB"/>
        </w:rPr>
        <w:t>2 × 60 cm</w:t>
      </w:r>
      <w:r w:rsidRPr="00D16FC5">
        <w:rPr>
          <w:vertAlign w:val="superscript"/>
          <w:lang w:eastAsia="en-GB"/>
        </w:rPr>
        <w:t>3</w:t>
      </w:r>
      <w:r>
        <w:rPr>
          <w:lang w:eastAsia="en-GB"/>
        </w:rPr>
        <w:t xml:space="preserve"> plastic syringe with Luer-slip or Luer-lock tip</w:t>
      </w:r>
    </w:p>
    <w:p w14:paraId="33BFB516" w14:textId="77777777" w:rsidR="00D16FC5" w:rsidRDefault="00D16FC5" w:rsidP="00D16FC5">
      <w:pPr>
        <w:pStyle w:val="RSCBulletedlist"/>
        <w:numPr>
          <w:ilvl w:val="0"/>
          <w:numId w:val="22"/>
        </w:numPr>
        <w:spacing w:line="256" w:lineRule="auto"/>
        <w:rPr>
          <w:lang w:eastAsia="en-GB"/>
        </w:rPr>
      </w:pPr>
      <w:r>
        <w:rPr>
          <w:lang w:eastAsia="en-GB"/>
        </w:rPr>
        <w:t>2 × syringe cap</w:t>
      </w:r>
    </w:p>
    <w:p w14:paraId="5C92E7A7" w14:textId="77777777" w:rsidR="00D16FC5" w:rsidRDefault="00D16FC5" w:rsidP="00D16FC5">
      <w:pPr>
        <w:pStyle w:val="RSCBulletedlist"/>
        <w:numPr>
          <w:ilvl w:val="0"/>
          <w:numId w:val="22"/>
        </w:numPr>
        <w:spacing w:line="256" w:lineRule="auto"/>
        <w:rPr>
          <w:lang w:eastAsia="en-GB"/>
        </w:rPr>
      </w:pPr>
      <w:r>
        <w:rPr>
          <w:lang w:eastAsia="en-GB"/>
        </w:rPr>
        <w:t>3-way syringe valve, optional</w:t>
      </w:r>
    </w:p>
    <w:p w14:paraId="0ACDE9A2" w14:textId="77777777" w:rsidR="00D16FC5" w:rsidRDefault="00D16FC5" w:rsidP="00D16FC5">
      <w:pPr>
        <w:pStyle w:val="RSCBulletedlist"/>
        <w:numPr>
          <w:ilvl w:val="0"/>
          <w:numId w:val="22"/>
        </w:numPr>
        <w:spacing w:line="256" w:lineRule="auto"/>
        <w:rPr>
          <w:lang w:eastAsia="en-GB"/>
        </w:rPr>
      </w:pPr>
      <w:r>
        <w:rPr>
          <w:lang w:eastAsia="en-GB"/>
        </w:rPr>
        <w:t>Approximately 3 cm silicone tubing with a 4 mm internal diameter</w:t>
      </w:r>
    </w:p>
    <w:p w14:paraId="188897EA" w14:textId="14A4015B" w:rsidR="00D16FC5" w:rsidRDefault="00D16FC5" w:rsidP="00D16FC5">
      <w:pPr>
        <w:pStyle w:val="RSCBulletedlist"/>
        <w:numPr>
          <w:ilvl w:val="0"/>
          <w:numId w:val="22"/>
        </w:numPr>
        <w:spacing w:line="256" w:lineRule="auto"/>
        <w:rPr>
          <w:lang w:eastAsia="en-GB"/>
        </w:rPr>
      </w:pPr>
      <w:r>
        <w:rPr>
          <w:lang w:eastAsia="en-GB"/>
        </w:rPr>
        <w:t>5 cm</w:t>
      </w:r>
      <w:r w:rsidRPr="00D16FC5">
        <w:rPr>
          <w:vertAlign w:val="superscript"/>
          <w:lang w:eastAsia="en-GB"/>
        </w:rPr>
        <w:t xml:space="preserve">3 </w:t>
      </w:r>
      <w:r>
        <w:rPr>
          <w:lang w:eastAsia="en-GB"/>
        </w:rPr>
        <w:t>1.4 M sulfuric(</w:t>
      </w:r>
      <w:r w:rsidR="00AC2CD1">
        <w:rPr>
          <w:smallCaps/>
          <w:lang w:eastAsia="en-GB"/>
        </w:rPr>
        <w:t>vi</w:t>
      </w:r>
      <w:r>
        <w:rPr>
          <w:lang w:eastAsia="en-GB"/>
        </w:rPr>
        <w:t>) acid</w:t>
      </w:r>
    </w:p>
    <w:p w14:paraId="4B3897FE" w14:textId="502547F7" w:rsidR="00D16FC5" w:rsidRDefault="00D16FC5" w:rsidP="00D16FC5">
      <w:pPr>
        <w:pStyle w:val="RSCBulletedlist"/>
        <w:numPr>
          <w:ilvl w:val="0"/>
          <w:numId w:val="22"/>
        </w:numPr>
        <w:spacing w:line="256" w:lineRule="auto"/>
        <w:rPr>
          <w:lang w:eastAsia="en-GB"/>
        </w:rPr>
      </w:pPr>
      <w:r>
        <w:rPr>
          <w:lang w:eastAsia="en-GB"/>
        </w:rPr>
        <w:t>0.20 g sodium nitrate(</w:t>
      </w:r>
      <w:r w:rsidR="00AC2CD1" w:rsidRPr="00AC2CD1">
        <w:rPr>
          <w:smallCaps/>
          <w:lang w:eastAsia="en-GB"/>
        </w:rPr>
        <w:t>iii</w:t>
      </w:r>
      <w:r>
        <w:rPr>
          <w:lang w:eastAsia="en-GB"/>
        </w:rPr>
        <w:t>)</w:t>
      </w:r>
    </w:p>
    <w:p w14:paraId="552BB6A6" w14:textId="6D00EDF4" w:rsidR="00D16FC5" w:rsidRDefault="00D16FC5" w:rsidP="00D16FC5">
      <w:pPr>
        <w:pStyle w:val="RSCBulletedlist"/>
        <w:numPr>
          <w:ilvl w:val="0"/>
          <w:numId w:val="22"/>
        </w:numPr>
        <w:spacing w:line="256" w:lineRule="auto"/>
        <w:rPr>
          <w:lang w:eastAsia="en-GB"/>
        </w:rPr>
      </w:pPr>
      <w:r>
        <w:rPr>
          <w:lang w:eastAsia="en-GB"/>
        </w:rPr>
        <w:t>1.35 g iron(</w:t>
      </w:r>
      <w:r w:rsidR="00AC2CD1" w:rsidRPr="00AC2CD1">
        <w:rPr>
          <w:smallCaps/>
          <w:lang w:eastAsia="en-GB"/>
        </w:rPr>
        <w:t>ii</w:t>
      </w:r>
      <w:r>
        <w:rPr>
          <w:lang w:eastAsia="en-GB"/>
        </w:rPr>
        <w:t>) sulfate heptahydrate</w:t>
      </w:r>
    </w:p>
    <w:p w14:paraId="090AF42C" w14:textId="77777777" w:rsidR="00D16FC5" w:rsidRDefault="00D16FC5" w:rsidP="00D16FC5">
      <w:pPr>
        <w:pStyle w:val="RSCBulletedlist"/>
        <w:numPr>
          <w:ilvl w:val="0"/>
          <w:numId w:val="22"/>
        </w:numPr>
        <w:spacing w:line="256" w:lineRule="auto"/>
        <w:rPr>
          <w:lang w:eastAsia="en-GB"/>
        </w:rPr>
      </w:pPr>
      <w:r>
        <w:rPr>
          <w:lang w:eastAsia="en-GB"/>
        </w:rPr>
        <w:t>50 cm</w:t>
      </w:r>
      <w:r w:rsidRPr="00AC2CD1">
        <w:rPr>
          <w:vertAlign w:val="superscript"/>
          <w:lang w:eastAsia="en-GB"/>
        </w:rPr>
        <w:t>3</w:t>
      </w:r>
      <w:r>
        <w:rPr>
          <w:lang w:eastAsia="en-GB"/>
        </w:rPr>
        <w:t xml:space="preserve"> stop bath of 0.4 M sodium hydroxide</w:t>
      </w:r>
    </w:p>
    <w:p w14:paraId="0445E4C0" w14:textId="77777777" w:rsidR="00D16FC5" w:rsidRDefault="00D16FC5" w:rsidP="00D16FC5">
      <w:pPr>
        <w:pStyle w:val="RSCBulletedlist"/>
        <w:numPr>
          <w:ilvl w:val="0"/>
          <w:numId w:val="22"/>
        </w:numPr>
        <w:spacing w:line="256" w:lineRule="auto"/>
        <w:rPr>
          <w:lang w:eastAsia="en-GB"/>
        </w:rPr>
      </w:pPr>
      <w:r>
        <w:rPr>
          <w:lang w:eastAsia="en-GB"/>
        </w:rPr>
        <w:t>0.05 g potassium iodide</w:t>
      </w:r>
    </w:p>
    <w:p w14:paraId="7548317F" w14:textId="38A628AD" w:rsidR="006D6EDD" w:rsidRDefault="00D16FC5" w:rsidP="00D16FC5">
      <w:pPr>
        <w:pStyle w:val="RSCBulletedlist"/>
        <w:numPr>
          <w:ilvl w:val="0"/>
          <w:numId w:val="22"/>
        </w:numPr>
        <w:spacing w:line="256" w:lineRule="auto"/>
        <w:rPr>
          <w:lang w:eastAsia="en-GB"/>
        </w:rPr>
      </w:pPr>
      <w:r>
        <w:rPr>
          <w:lang w:eastAsia="en-GB"/>
        </w:rPr>
        <w:t>3 cm</w:t>
      </w:r>
      <w:r w:rsidRPr="00AC2CD1">
        <w:rPr>
          <w:vertAlign w:val="superscript"/>
          <w:lang w:eastAsia="en-GB"/>
        </w:rPr>
        <w:t>3</w:t>
      </w:r>
      <w:r w:rsidRPr="00AC2CD1">
        <w:rPr>
          <w:lang w:eastAsia="en-GB"/>
        </w:rPr>
        <w:t xml:space="preserve"> </w:t>
      </w:r>
      <w:r>
        <w:rPr>
          <w:lang w:eastAsia="en-GB"/>
        </w:rPr>
        <w:t>of 20 vol hydrogen peroxide</w:t>
      </w:r>
    </w:p>
    <w:p w14:paraId="597358A7" w14:textId="77777777" w:rsidR="006D6EDD" w:rsidRDefault="006D6EDD">
      <w:pPr>
        <w:spacing w:after="160" w:line="259" w:lineRule="auto"/>
        <w:jc w:val="left"/>
        <w:outlineLvl w:val="9"/>
        <w:rPr>
          <w:rFonts w:ascii="Century Gothic" w:hAnsi="Century Gothic"/>
          <w:sz w:val="22"/>
          <w:szCs w:val="22"/>
          <w:lang w:eastAsia="en-GB"/>
        </w:rPr>
      </w:pPr>
      <w:r>
        <w:rPr>
          <w:lang w:eastAsia="en-GB"/>
        </w:rPr>
        <w:br w:type="page"/>
      </w:r>
    </w:p>
    <w:p w14:paraId="177A9F5D" w14:textId="678101DD" w:rsidR="00307510" w:rsidRPr="003D453E" w:rsidRDefault="00534E77" w:rsidP="00803338">
      <w:pPr>
        <w:pStyle w:val="RSCH2"/>
        <w:rPr>
          <w:color w:val="8E1055"/>
          <w:lang w:eastAsia="en-GB"/>
        </w:rPr>
      </w:pPr>
      <w:r w:rsidRPr="003D453E">
        <w:rPr>
          <w:color w:val="8E1055"/>
          <w:lang w:eastAsia="en-GB"/>
        </w:rPr>
        <w:lastRenderedPageBreak/>
        <w:t>Health, s</w:t>
      </w:r>
      <w:r w:rsidR="00307510" w:rsidRPr="003D453E">
        <w:rPr>
          <w:color w:val="8E1055"/>
          <w:lang w:eastAsia="en-GB"/>
        </w:rPr>
        <w:t xml:space="preserve">afety </w:t>
      </w:r>
      <w:r w:rsidRPr="003D453E">
        <w:rPr>
          <w:color w:val="8E1055"/>
          <w:lang w:eastAsia="en-GB"/>
        </w:rPr>
        <w:t>and disposal</w:t>
      </w:r>
    </w:p>
    <w:p w14:paraId="413566BC" w14:textId="091FA0C4" w:rsidR="00071B48" w:rsidRPr="003D453E" w:rsidRDefault="00071B48" w:rsidP="00803338">
      <w:pPr>
        <w:pStyle w:val="RSCBulletedlist"/>
        <w:numPr>
          <w:ilvl w:val="0"/>
          <w:numId w:val="24"/>
        </w:numPr>
        <w:rPr>
          <w:lang w:eastAsia="en-GB"/>
        </w:rPr>
      </w:pPr>
      <w:r w:rsidRPr="003D453E">
        <w:t>Read our standard health and safety guidance</w:t>
      </w:r>
      <w:r w:rsidR="00B63F7E" w:rsidRPr="003D453E">
        <w:rPr>
          <w:rStyle w:val="Hyperlink"/>
          <w:color w:val="auto"/>
          <w:u w:val="none"/>
        </w:rPr>
        <w:t>, available from</w:t>
      </w:r>
      <w:r w:rsidRPr="003D453E">
        <w:rPr>
          <w:lang w:eastAsia="en-US"/>
        </w:rPr>
        <w:t xml:space="preserve"> </w:t>
      </w:r>
      <w:hyperlink r:id="rId13" w:history="1">
        <w:r w:rsidR="003D453E" w:rsidRPr="003D453E">
          <w:rPr>
            <w:rStyle w:val="Hyperlink"/>
            <w:color w:val="8E1055"/>
            <w:lang w:eastAsia="en-US"/>
          </w:rPr>
          <w:t>rsc.li/4qo2AQJ</w:t>
        </w:r>
      </w:hyperlink>
      <w:r w:rsidR="003D453E" w:rsidRPr="003D453E">
        <w:rPr>
          <w:lang w:eastAsia="en-US"/>
        </w:rPr>
        <w:t>,</w:t>
      </w:r>
      <w:r w:rsidR="00B63F7E" w:rsidRPr="003D453E">
        <w:rPr>
          <w:rFonts w:ascii="Calibri" w:hAnsi="Calibri"/>
          <w:lang w:eastAsia="en-US"/>
        </w:rPr>
        <w:t xml:space="preserve"> </w:t>
      </w:r>
      <w:r w:rsidRPr="003D453E">
        <w:t>and carry out a risk assessment before running any live practical.</w:t>
      </w:r>
    </w:p>
    <w:p w14:paraId="0B6920A7" w14:textId="77777777" w:rsidR="00331499" w:rsidRDefault="00331499" w:rsidP="00331499">
      <w:pPr>
        <w:pStyle w:val="RSCBulletedlist"/>
        <w:rPr>
          <w:lang w:eastAsia="en-GB"/>
        </w:rPr>
      </w:pPr>
      <w:r>
        <w:t>Wear eye protection.</w:t>
      </w:r>
    </w:p>
    <w:p w14:paraId="5B164DDB" w14:textId="77777777" w:rsidR="00331499" w:rsidRDefault="00331499" w:rsidP="00331499">
      <w:pPr>
        <w:pStyle w:val="RSCBulletedlist"/>
      </w:pPr>
      <w:r>
        <w:t>Work in an efficiently running fume cupboard.</w:t>
      </w:r>
    </w:p>
    <w:p w14:paraId="01B5A454" w14:textId="5E67FDC8" w:rsidR="00331499" w:rsidRDefault="00331499" w:rsidP="00331499">
      <w:pPr>
        <w:pStyle w:val="RSCBulletedlist"/>
      </w:pPr>
      <w:r>
        <w:t>1.4 M sulfuric(</w:t>
      </w:r>
      <w:r w:rsidR="004C6BE3" w:rsidRPr="004C6BE3">
        <w:rPr>
          <w:smallCaps/>
        </w:rPr>
        <w:t>vi</w:t>
      </w:r>
      <w:r>
        <w:t>) acid is an irritant to skin and eyes. CLEAPSS members should consult</w:t>
      </w:r>
      <w:r w:rsidR="004C6BE3">
        <w:t xml:space="preserve"> HC</w:t>
      </w:r>
      <w:r w:rsidR="004C6BE3" w:rsidRPr="00533765">
        <w:t>098a</w:t>
      </w:r>
      <w:r w:rsidR="00533765" w:rsidRPr="00533765">
        <w:t xml:space="preserve">: </w:t>
      </w:r>
      <w:hyperlink r:id="rId14" w:history="1">
        <w:r w:rsidR="00533765" w:rsidRPr="00533765">
          <w:rPr>
            <w:rStyle w:val="Hyperlink"/>
            <w:color w:val="8E1055"/>
          </w:rPr>
          <w:t>bit.ly/4hNLE2t</w:t>
        </w:r>
      </w:hyperlink>
      <w:r w:rsidR="00533765" w:rsidRPr="00533765">
        <w:t xml:space="preserve">. </w:t>
      </w:r>
    </w:p>
    <w:p w14:paraId="306DCEDB" w14:textId="0B2400CE" w:rsidR="00331499" w:rsidRDefault="00331499" w:rsidP="00331499">
      <w:pPr>
        <w:pStyle w:val="RSCBulletedlist"/>
      </w:pPr>
      <w:r>
        <w:t>Sodium nitrate(</w:t>
      </w:r>
      <w:r w:rsidR="004C6BE3" w:rsidRPr="004C6BE3">
        <w:rPr>
          <w:smallCaps/>
        </w:rPr>
        <w:t>iii</w:t>
      </w:r>
      <w:r>
        <w:t>) is an eye irritant and toxic if swallowed. You should keep it away from combustible materials. CLEAPSS members should consult</w:t>
      </w:r>
      <w:r w:rsidR="004C6BE3">
        <w:t xml:space="preserve"> HC093</w:t>
      </w:r>
      <w:r w:rsidR="00AE7FE7">
        <w:t xml:space="preserve">: </w:t>
      </w:r>
      <w:hyperlink r:id="rId15" w:history="1">
        <w:r w:rsidR="00AE7FE7" w:rsidRPr="00AE7FE7">
          <w:rPr>
            <w:rStyle w:val="Hyperlink"/>
            <w:color w:val="8E1055"/>
          </w:rPr>
          <w:t>bit.ly/4hNLM1X</w:t>
        </w:r>
      </w:hyperlink>
      <w:r>
        <w:t>.</w:t>
      </w:r>
    </w:p>
    <w:p w14:paraId="7FA58511" w14:textId="6838094F" w:rsidR="00331499" w:rsidRDefault="00331499" w:rsidP="00331499">
      <w:pPr>
        <w:pStyle w:val="RSCBulletedlist"/>
      </w:pPr>
      <w:r>
        <w:t>Iron(</w:t>
      </w:r>
      <w:r w:rsidR="004C6BE3" w:rsidRPr="004C6BE3">
        <w:rPr>
          <w:smallCaps/>
        </w:rPr>
        <w:t>ii</w:t>
      </w:r>
      <w:r>
        <w:t>) sulfate heptahydrate is irritating to skin and eyes and harmful if swallowed.</w:t>
      </w:r>
    </w:p>
    <w:p w14:paraId="0BEEE865" w14:textId="77777777" w:rsidR="00331499" w:rsidRDefault="00331499" w:rsidP="00331499">
      <w:pPr>
        <w:pStyle w:val="RSCBulletedlist"/>
      </w:pPr>
      <w:r>
        <w:t>0.4 M sodium hydroxide is an irritant to skin and eyes.</w:t>
      </w:r>
    </w:p>
    <w:p w14:paraId="6756310C" w14:textId="77777777" w:rsidR="00331499" w:rsidRDefault="00331499" w:rsidP="00331499">
      <w:pPr>
        <w:pStyle w:val="RSCBulletedlist"/>
      </w:pPr>
      <w:r>
        <w:t>20 vol hydrogen peroxide is an eye irritant.</w:t>
      </w:r>
    </w:p>
    <w:p w14:paraId="70A488B3" w14:textId="4F7AB711" w:rsidR="00331499" w:rsidRDefault="00331499" w:rsidP="00331499">
      <w:pPr>
        <w:pStyle w:val="RSCBulletedlist"/>
      </w:pPr>
      <w:r>
        <w:t>The nitrogen monoxide and nitrogen dioxide you produce are toxic, corrosive and oxidising – avoid skin contact and inhalation. CLEAPSS members should consult</w:t>
      </w:r>
      <w:r w:rsidR="004C6BE3">
        <w:t xml:space="preserve"> HC068B</w:t>
      </w:r>
      <w:r w:rsidR="00AE7FE7">
        <w:t xml:space="preserve">: </w:t>
      </w:r>
      <w:hyperlink r:id="rId16" w:history="1">
        <w:r w:rsidR="005B435C" w:rsidRPr="005B435C">
          <w:rPr>
            <w:rStyle w:val="Hyperlink"/>
            <w:color w:val="8E1055"/>
          </w:rPr>
          <w:t>bit.ly/47mZhk3</w:t>
        </w:r>
      </w:hyperlink>
      <w:r w:rsidR="005B435C">
        <w:t xml:space="preserve">. </w:t>
      </w:r>
    </w:p>
    <w:p w14:paraId="522D16BD" w14:textId="666B5C6A" w:rsidR="00D00AB5" w:rsidRPr="004C6BE3" w:rsidRDefault="00331499" w:rsidP="004C6BE3">
      <w:pPr>
        <w:pStyle w:val="RSCBulletedlist"/>
      </w:pPr>
      <w:r>
        <w:t>Retain the syringe of nitrogen dioxide you produce for the next Exhibition chemistry demonstration (coming soon!) or expel through a stop bath of 0.4 M sodium hydroxide in a fume cupboard. Dilute the contents of the stop bath and dispose of down a foul-water drain.</w:t>
      </w:r>
      <w:bookmarkEnd w:id="0"/>
    </w:p>
    <w:p w14:paraId="6586ECFA" w14:textId="77777777" w:rsidR="00054041" w:rsidRPr="00054041" w:rsidRDefault="00054041" w:rsidP="00054041">
      <w:pPr>
        <w:pStyle w:val="RSCH2"/>
        <w:rPr>
          <w:color w:val="8E1055"/>
        </w:rPr>
      </w:pPr>
      <w:r w:rsidRPr="00054041">
        <w:rPr>
          <w:color w:val="8E1055"/>
        </w:rPr>
        <w:t>Preparation</w:t>
      </w:r>
    </w:p>
    <w:p w14:paraId="05712470" w14:textId="40C2ADAA" w:rsidR="00054041" w:rsidRPr="00666348" w:rsidRDefault="00666348" w:rsidP="00666348">
      <w:pPr>
        <w:pStyle w:val="RSCH3"/>
        <w:rPr>
          <w:color w:val="8E1055"/>
        </w:rPr>
      </w:pPr>
      <w:r w:rsidRPr="00666348">
        <w:rPr>
          <w:color w:val="8E1055"/>
        </w:rPr>
        <w:t>Collecting a syringe of NO</w:t>
      </w:r>
    </w:p>
    <w:p w14:paraId="06994759" w14:textId="659AEA45" w:rsidR="00054041" w:rsidRDefault="00666348" w:rsidP="00666348">
      <w:pPr>
        <w:pStyle w:val="RSCBasictext"/>
      </w:pPr>
      <w:r w:rsidRPr="00666348">
        <w:t>Transfer about 5 cm</w:t>
      </w:r>
      <w:r w:rsidRPr="00666348">
        <w:rPr>
          <w:vertAlign w:val="superscript"/>
        </w:rPr>
        <w:t>3</w:t>
      </w:r>
      <w:r w:rsidRPr="00666348">
        <w:t> of 1.4 M sulfuric(</w:t>
      </w:r>
      <w:r>
        <w:rPr>
          <w:smallCaps/>
        </w:rPr>
        <w:t>vi</w:t>
      </w:r>
      <w:r w:rsidRPr="00666348">
        <w:t>) acid into a weighing boat. Weigh 0.20 g sodium nitrate(</w:t>
      </w:r>
      <w:r w:rsidRPr="00666348">
        <w:rPr>
          <w:smallCaps/>
        </w:rPr>
        <w:t>iii</w:t>
      </w:r>
      <w:r w:rsidRPr="00666348">
        <w:t>) and 1.35 g of iron(</w:t>
      </w:r>
      <w:r w:rsidRPr="00666348">
        <w:rPr>
          <w:smallCaps/>
        </w:rPr>
        <w:t>ii</w:t>
      </w:r>
      <w:r w:rsidRPr="00666348">
        <w:t>) sulfate heptahydrate into a sample vial lid. Check the syringe has a free-flowing plunger. Hold it vertically, tip down, with the plunger removed. Carefully lower the sample vial lid into the syringe so the solid sits in the lid at the tip-end of the syringe. Mattson’s floatation technique (figure 1) can assist here. Fill the syringe from a tap until nearly full, holding a finger over the tip to prevent the liquid from emptying (figure 1a). Then float the sample vial in the syringe and release your finger over a flask so the emptying water gently lowers the lid (figure 1b–c). Once the lid is in place, re-insert and depress the plunger, keeping the syringe pointed down.</w:t>
      </w:r>
    </w:p>
    <w:p w14:paraId="20161479" w14:textId="732B0771" w:rsidR="00E65859" w:rsidRDefault="00E65859" w:rsidP="00666348">
      <w:pPr>
        <w:pStyle w:val="RSCBasictext"/>
      </w:pPr>
      <w:r>
        <w:rPr>
          <w:noProof/>
        </w:rPr>
        <w:lastRenderedPageBreak/>
        <w:drawing>
          <wp:inline distT="0" distB="0" distL="0" distR="0" wp14:anchorId="54C96EB7" wp14:editId="76A568FD">
            <wp:extent cx="5731510" cy="2768600"/>
            <wp:effectExtent l="0" t="0" r="2540" b="0"/>
            <wp:docPr id="1345817959" name="Picture 1" descr="A step-by-step showing how to lower a sample vial lid of powder into a syringe by floating it on water which is removed via the tip. A liquid reagent is sucked into the syringe. The reaction begins when it is inverted. Gas col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17959" name="Picture 1" descr="A step-by-step showing how to lower a sample vial lid of powder into a syringe by floating it on water which is removed via the tip. A liquid reagent is sucked into the syringe. The reaction begins when it is inverted. Gas collected."/>
                    <pic:cNvPicPr/>
                  </pic:nvPicPr>
                  <pic:blipFill>
                    <a:blip r:embed="rId17">
                      <a:extLst>
                        <a:ext uri="{28A0092B-C50C-407E-A947-70E740481C1C}">
                          <a14:useLocalDpi xmlns:a14="http://schemas.microsoft.com/office/drawing/2010/main" val="0"/>
                        </a:ext>
                      </a:extLst>
                    </a:blip>
                    <a:stretch>
                      <a:fillRect/>
                    </a:stretch>
                  </pic:blipFill>
                  <pic:spPr>
                    <a:xfrm>
                      <a:off x="0" y="0"/>
                      <a:ext cx="5731510" cy="2768600"/>
                    </a:xfrm>
                    <a:prstGeom prst="rect">
                      <a:avLst/>
                    </a:prstGeom>
                  </pic:spPr>
                </pic:pic>
              </a:graphicData>
            </a:graphic>
          </wp:inline>
        </w:drawing>
      </w:r>
    </w:p>
    <w:p w14:paraId="75A05356" w14:textId="4772D1B0" w:rsidR="00B96606" w:rsidRDefault="00B96606" w:rsidP="00220429">
      <w:pPr>
        <w:pStyle w:val="Subtitle"/>
      </w:pPr>
      <w:r>
        <w:t xml:space="preserve">Figure 1: </w:t>
      </w:r>
      <w:r w:rsidR="00220429" w:rsidRPr="00220429">
        <w:t>Mattson technique to collect a sample of gas</w:t>
      </w:r>
    </w:p>
    <w:p w14:paraId="6D8E098B" w14:textId="77777777" w:rsidR="00B96606" w:rsidRDefault="00B96606" w:rsidP="00666348">
      <w:pPr>
        <w:pStyle w:val="RSCBasictext"/>
      </w:pPr>
    </w:p>
    <w:p w14:paraId="456D36BC" w14:textId="0E478386" w:rsidR="004C58A4" w:rsidRDefault="004C58A4" w:rsidP="00666348">
      <w:pPr>
        <w:pStyle w:val="RSCBasictext"/>
      </w:pPr>
      <w:r w:rsidRPr="004C58A4">
        <w:t>Draw up the acid, taking care not to introduce any air, and cap the syringe (figure 1d–e). Next, invert the syringe (figure 1f). The solution will turn black and produce a colourless gas. Use your other hand to help the plunger retract. The reaction (equation 1) can produce up to 72 cm</w:t>
      </w:r>
      <w:r w:rsidRPr="004C58A4">
        <w:rPr>
          <w:vertAlign w:val="superscript"/>
        </w:rPr>
        <w:t>3</w:t>
      </w:r>
      <w:r w:rsidRPr="004C58A4">
        <w:t xml:space="preserve"> of gas, but as some gas will react with traces of oxygen in the syringe and dissolve, in practice you’ll have little more than 50 cm</w:t>
      </w:r>
      <w:r w:rsidRPr="004C58A4">
        <w:rPr>
          <w:vertAlign w:val="superscript"/>
        </w:rPr>
        <w:t>3</w:t>
      </w:r>
      <w:r w:rsidRPr="004C58A4">
        <w:t>.</w:t>
      </w:r>
    </w:p>
    <w:p w14:paraId="5E8911F2" w14:textId="77777777" w:rsidR="001232F2" w:rsidRDefault="001232F2" w:rsidP="00666348">
      <w:pPr>
        <w:pStyle w:val="RSCBasictext"/>
      </w:pPr>
    </w:p>
    <w:p w14:paraId="0CD9D858" w14:textId="3AF6429B" w:rsidR="00E95B6C" w:rsidRDefault="004C58A4" w:rsidP="004C58A4">
      <w:pPr>
        <w:rPr>
          <w:rFonts w:ascii="Cambria Math" w:hAnsi="Cambria Math"/>
          <w:sz w:val="24"/>
          <w:szCs w:val="24"/>
        </w:rPr>
      </w:pPr>
      <w:r w:rsidRPr="00E95B6C">
        <w:rPr>
          <w:rFonts w:ascii="Cambria Math" w:hAnsi="Cambria Math"/>
          <w:b/>
          <w:bCs/>
          <w:sz w:val="24"/>
          <w:szCs w:val="24"/>
        </w:rPr>
        <w:t>Equation 1</w:t>
      </w:r>
      <w:r w:rsidR="00335AF1" w:rsidRPr="00335AF1">
        <w:rPr>
          <w:rFonts w:ascii="Cambria Math" w:hAnsi="Cambria Math"/>
          <w:sz w:val="24"/>
          <w:szCs w:val="24"/>
        </w:rPr>
        <w:t>:</w:t>
      </w:r>
    </w:p>
    <w:p w14:paraId="1040568C" w14:textId="484BE03C" w:rsidR="004C58A4" w:rsidRDefault="004C58A4" w:rsidP="004C58A4">
      <w:pPr>
        <w:rPr>
          <w:rFonts w:ascii="Cambria Math" w:hAnsi="Cambria Math"/>
          <w:sz w:val="22"/>
          <w:szCs w:val="22"/>
        </w:rPr>
      </w:pPr>
      <w:r w:rsidRPr="00335AF1">
        <w:rPr>
          <w:rFonts w:ascii="Cambria Math" w:hAnsi="Cambria Math"/>
          <w:sz w:val="22"/>
          <w:szCs w:val="22"/>
        </w:rPr>
        <w:t>2NaNO</w:t>
      </w:r>
      <w:r w:rsidRPr="00335AF1">
        <w:rPr>
          <w:rFonts w:ascii="Cambria Math" w:hAnsi="Cambria Math"/>
          <w:sz w:val="22"/>
          <w:szCs w:val="22"/>
          <w:vertAlign w:val="subscript"/>
        </w:rPr>
        <w:t>2</w:t>
      </w:r>
      <w:r w:rsidRPr="00335AF1">
        <w:rPr>
          <w:rFonts w:ascii="Cambria Math" w:hAnsi="Cambria Math"/>
          <w:sz w:val="22"/>
          <w:szCs w:val="22"/>
        </w:rPr>
        <w:t xml:space="preserve">(s) </w:t>
      </w:r>
      <w:r w:rsidR="00E95B6C" w:rsidRPr="00335AF1">
        <w:rPr>
          <w:rFonts w:ascii="Cambria Math" w:hAnsi="Cambria Math"/>
          <w:sz w:val="22"/>
          <w:szCs w:val="22"/>
        </w:rPr>
        <w:t>+</w:t>
      </w:r>
      <w:r w:rsidRPr="00335AF1">
        <w:rPr>
          <w:rFonts w:ascii="Cambria Math" w:hAnsi="Cambria Math"/>
          <w:sz w:val="22"/>
          <w:szCs w:val="22"/>
        </w:rPr>
        <w:t xml:space="preserve"> 2FeSO</w:t>
      </w:r>
      <w:r w:rsidRPr="00335AF1">
        <w:rPr>
          <w:rFonts w:ascii="Cambria Math" w:hAnsi="Cambria Math"/>
          <w:sz w:val="22"/>
          <w:szCs w:val="22"/>
          <w:vertAlign w:val="subscript"/>
        </w:rPr>
        <w:t>4</w:t>
      </w:r>
      <w:r w:rsidRPr="00335AF1">
        <w:rPr>
          <w:rFonts w:ascii="Cambria Math" w:hAnsi="Cambria Math"/>
          <w:sz w:val="22"/>
          <w:szCs w:val="22"/>
        </w:rPr>
        <w:t>(</w:t>
      </w:r>
      <w:proofErr w:type="spellStart"/>
      <w:r w:rsidRPr="00335AF1">
        <w:rPr>
          <w:rFonts w:ascii="Cambria Math" w:hAnsi="Cambria Math"/>
          <w:sz w:val="22"/>
          <w:szCs w:val="22"/>
        </w:rPr>
        <w:t>aq</w:t>
      </w:r>
      <w:proofErr w:type="spellEnd"/>
      <w:r w:rsidRPr="00335AF1">
        <w:rPr>
          <w:rFonts w:ascii="Cambria Math" w:hAnsi="Cambria Math"/>
          <w:sz w:val="22"/>
          <w:szCs w:val="22"/>
        </w:rPr>
        <w:t>) + 3H</w:t>
      </w:r>
      <w:r w:rsidRPr="00335AF1">
        <w:rPr>
          <w:rFonts w:ascii="Cambria Math" w:hAnsi="Cambria Math"/>
          <w:sz w:val="22"/>
          <w:szCs w:val="22"/>
          <w:vertAlign w:val="subscript"/>
        </w:rPr>
        <w:t>2</w:t>
      </w:r>
      <w:r w:rsidRPr="00335AF1">
        <w:rPr>
          <w:rFonts w:ascii="Cambria Math" w:hAnsi="Cambria Math"/>
          <w:sz w:val="22"/>
          <w:szCs w:val="22"/>
        </w:rPr>
        <w:t>SO</w:t>
      </w:r>
      <w:r w:rsidRPr="00335AF1">
        <w:rPr>
          <w:rFonts w:ascii="Cambria Math" w:hAnsi="Cambria Math"/>
          <w:sz w:val="22"/>
          <w:szCs w:val="22"/>
          <w:vertAlign w:val="subscript"/>
        </w:rPr>
        <w:t>4</w:t>
      </w:r>
      <w:r w:rsidRPr="00335AF1">
        <w:rPr>
          <w:rFonts w:ascii="Cambria Math" w:hAnsi="Cambria Math"/>
          <w:sz w:val="22"/>
          <w:szCs w:val="22"/>
        </w:rPr>
        <w:t>(</w:t>
      </w:r>
      <w:proofErr w:type="spellStart"/>
      <w:r w:rsidRPr="00335AF1">
        <w:rPr>
          <w:rFonts w:ascii="Cambria Math" w:hAnsi="Cambria Math"/>
          <w:sz w:val="22"/>
          <w:szCs w:val="22"/>
        </w:rPr>
        <w:t>aq</w:t>
      </w:r>
      <w:proofErr w:type="spellEnd"/>
      <w:r w:rsidRPr="00335AF1">
        <w:rPr>
          <w:rFonts w:ascii="Cambria Math" w:hAnsi="Cambria Math"/>
          <w:sz w:val="22"/>
          <w:szCs w:val="22"/>
        </w:rPr>
        <w:t>) → 2NO(g) + Fe</w:t>
      </w:r>
      <w:r w:rsidRPr="00335AF1">
        <w:rPr>
          <w:rFonts w:ascii="Cambria Math" w:hAnsi="Cambria Math"/>
          <w:sz w:val="22"/>
          <w:szCs w:val="22"/>
          <w:vertAlign w:val="subscript"/>
        </w:rPr>
        <w:t>2</w:t>
      </w:r>
      <w:r w:rsidRPr="00335AF1">
        <w:rPr>
          <w:rFonts w:ascii="Cambria Math" w:hAnsi="Cambria Math"/>
          <w:sz w:val="22"/>
          <w:szCs w:val="22"/>
        </w:rPr>
        <w:t>(SO</w:t>
      </w:r>
      <w:r w:rsidRPr="00335AF1">
        <w:rPr>
          <w:rFonts w:ascii="Cambria Math" w:hAnsi="Cambria Math"/>
          <w:sz w:val="22"/>
          <w:szCs w:val="22"/>
          <w:vertAlign w:val="subscript"/>
        </w:rPr>
        <w:t>4</w:t>
      </w:r>
      <w:r w:rsidRPr="00335AF1">
        <w:rPr>
          <w:rFonts w:ascii="Cambria Math" w:hAnsi="Cambria Math"/>
          <w:sz w:val="22"/>
          <w:szCs w:val="22"/>
        </w:rPr>
        <w:t>)</w:t>
      </w:r>
      <w:r w:rsidRPr="00335AF1">
        <w:rPr>
          <w:rFonts w:ascii="Cambria Math" w:hAnsi="Cambria Math"/>
          <w:sz w:val="22"/>
          <w:szCs w:val="22"/>
          <w:vertAlign w:val="subscript"/>
        </w:rPr>
        <w:t>3</w:t>
      </w:r>
      <w:r w:rsidRPr="00335AF1">
        <w:rPr>
          <w:rFonts w:ascii="Cambria Math" w:hAnsi="Cambria Math"/>
          <w:sz w:val="22"/>
          <w:szCs w:val="22"/>
        </w:rPr>
        <w:t>(</w:t>
      </w:r>
      <w:proofErr w:type="spellStart"/>
      <w:r w:rsidRPr="00335AF1">
        <w:rPr>
          <w:rFonts w:ascii="Cambria Math" w:hAnsi="Cambria Math"/>
          <w:sz w:val="22"/>
          <w:szCs w:val="22"/>
        </w:rPr>
        <w:t>aq</w:t>
      </w:r>
      <w:proofErr w:type="spellEnd"/>
      <w:r w:rsidRPr="00335AF1">
        <w:rPr>
          <w:rFonts w:ascii="Cambria Math" w:hAnsi="Cambria Math"/>
          <w:sz w:val="22"/>
          <w:szCs w:val="22"/>
        </w:rPr>
        <w:t>) + 2NaHSO</w:t>
      </w:r>
      <w:r w:rsidRPr="00335AF1">
        <w:rPr>
          <w:rFonts w:ascii="Cambria Math" w:hAnsi="Cambria Math"/>
          <w:sz w:val="22"/>
          <w:szCs w:val="22"/>
          <w:vertAlign w:val="subscript"/>
        </w:rPr>
        <w:t>4</w:t>
      </w:r>
      <w:r w:rsidRPr="00335AF1">
        <w:rPr>
          <w:rFonts w:ascii="Cambria Math" w:hAnsi="Cambria Math"/>
          <w:sz w:val="22"/>
          <w:szCs w:val="22"/>
        </w:rPr>
        <w:t>(</w:t>
      </w:r>
      <w:proofErr w:type="spellStart"/>
      <w:r w:rsidRPr="00335AF1">
        <w:rPr>
          <w:rFonts w:ascii="Cambria Math" w:hAnsi="Cambria Math"/>
          <w:sz w:val="22"/>
          <w:szCs w:val="22"/>
        </w:rPr>
        <w:t>aq</w:t>
      </w:r>
      <w:proofErr w:type="spellEnd"/>
      <w:r w:rsidRPr="00335AF1">
        <w:rPr>
          <w:rFonts w:ascii="Cambria Math" w:hAnsi="Cambria Math"/>
          <w:sz w:val="22"/>
          <w:szCs w:val="22"/>
        </w:rPr>
        <w:t>) + 2H</w:t>
      </w:r>
      <w:r w:rsidRPr="00335AF1">
        <w:rPr>
          <w:rFonts w:ascii="Cambria Math" w:hAnsi="Cambria Math"/>
          <w:sz w:val="22"/>
          <w:szCs w:val="22"/>
          <w:vertAlign w:val="subscript"/>
        </w:rPr>
        <w:t>2</w:t>
      </w:r>
      <w:r w:rsidRPr="00335AF1">
        <w:rPr>
          <w:rFonts w:ascii="Cambria Math" w:hAnsi="Cambria Math"/>
          <w:sz w:val="22"/>
          <w:szCs w:val="22"/>
        </w:rPr>
        <w:t>O</w:t>
      </w:r>
      <w:r w:rsidR="005B4286">
        <w:rPr>
          <w:rFonts w:ascii="Cambria Math" w:hAnsi="Cambria Math"/>
          <w:sz w:val="22"/>
          <w:szCs w:val="22"/>
        </w:rPr>
        <w:t>(l)</w:t>
      </w:r>
      <w:r w:rsidRPr="00335AF1">
        <w:rPr>
          <w:rFonts w:ascii="Cambria Math" w:hAnsi="Cambria Math"/>
          <w:sz w:val="22"/>
          <w:szCs w:val="22"/>
        </w:rPr>
        <w:t xml:space="preserve"> </w:t>
      </w:r>
    </w:p>
    <w:p w14:paraId="284E0F98" w14:textId="77777777" w:rsidR="00335AF1" w:rsidRDefault="00335AF1" w:rsidP="004C58A4">
      <w:pPr>
        <w:rPr>
          <w:rFonts w:ascii="Cambria Math" w:hAnsi="Cambria Math"/>
          <w:sz w:val="22"/>
          <w:szCs w:val="22"/>
        </w:rPr>
      </w:pPr>
    </w:p>
    <w:p w14:paraId="34919FAC" w14:textId="47E923C1" w:rsidR="00335AF1" w:rsidRPr="00362947" w:rsidRDefault="00335AF1" w:rsidP="00362947">
      <w:pPr>
        <w:rPr>
          <w:rFonts w:ascii="Century Gothic" w:hAnsi="Century Gothic"/>
          <w:sz w:val="22"/>
          <w:szCs w:val="22"/>
        </w:rPr>
      </w:pPr>
      <w:r w:rsidRPr="00335AF1">
        <w:rPr>
          <w:rFonts w:ascii="Century Gothic" w:hAnsi="Century Gothic"/>
          <w:sz w:val="22"/>
          <w:szCs w:val="22"/>
        </w:rPr>
        <w:t xml:space="preserve">When the reaction finishes, or you have generated sufficient </w:t>
      </w:r>
      <w:r w:rsidRPr="008A2002">
        <w:rPr>
          <w:rFonts w:ascii="Cambria Math" w:hAnsi="Cambria Math"/>
          <w:sz w:val="24"/>
          <w:szCs w:val="24"/>
        </w:rPr>
        <w:t>NO</w:t>
      </w:r>
      <w:r w:rsidRPr="00335AF1">
        <w:rPr>
          <w:rFonts w:ascii="Century Gothic" w:hAnsi="Century Gothic"/>
          <w:sz w:val="22"/>
          <w:szCs w:val="22"/>
        </w:rPr>
        <w:t>, you can dispose of the solution in the syringe. Hold the syringe tip-up in the fume cupboard, pointing away from you, and draw the plunger slightly back to ensure no liquid shoots out under pressure. Remove the syringe cap, invert the syringe again and carefully squeeze out the solution into a stop bath of 50 cm</w:t>
      </w:r>
      <w:r w:rsidRPr="00335AF1">
        <w:rPr>
          <w:rFonts w:ascii="Century Gothic" w:hAnsi="Century Gothic"/>
          <w:sz w:val="22"/>
          <w:szCs w:val="22"/>
          <w:vertAlign w:val="superscript"/>
        </w:rPr>
        <w:t>3</w:t>
      </w:r>
      <w:r w:rsidRPr="00335AF1">
        <w:rPr>
          <w:rFonts w:ascii="Century Gothic" w:hAnsi="Century Gothic"/>
          <w:sz w:val="22"/>
          <w:szCs w:val="22"/>
        </w:rPr>
        <w:t xml:space="preserve"> of 0.4 M sodium hydroxide. Cap and invert the syringe once more and transfer the gas upwards into a dry syringe fitted with either a few centimetres of silicone tubing or a three-way valve. Pull the empty syringe’s plunger as you depress the syringe of collected </w:t>
      </w:r>
      <w:r w:rsidRPr="008A2002">
        <w:rPr>
          <w:rFonts w:ascii="Cambria Math" w:hAnsi="Cambria Math"/>
          <w:sz w:val="24"/>
          <w:szCs w:val="24"/>
        </w:rPr>
        <w:t>NO</w:t>
      </w:r>
      <w:r w:rsidRPr="008A2002">
        <w:rPr>
          <w:rFonts w:ascii="Century Gothic" w:hAnsi="Century Gothic"/>
          <w:sz w:val="24"/>
          <w:szCs w:val="24"/>
        </w:rPr>
        <w:t xml:space="preserve"> </w:t>
      </w:r>
      <w:r w:rsidRPr="00335AF1">
        <w:rPr>
          <w:rFonts w:ascii="Century Gothic" w:hAnsi="Century Gothic"/>
          <w:sz w:val="22"/>
          <w:szCs w:val="22"/>
        </w:rPr>
        <w:t>and take care not to transfer any liquid.</w:t>
      </w:r>
    </w:p>
    <w:p w14:paraId="51783D14" w14:textId="30ED59C8" w:rsidR="004C58A4" w:rsidRDefault="00362947" w:rsidP="00362947">
      <w:pPr>
        <w:pStyle w:val="RSCH3"/>
        <w:rPr>
          <w:color w:val="8E1055"/>
          <w:vertAlign w:val="subscript"/>
        </w:rPr>
      </w:pPr>
      <w:r w:rsidRPr="00362947">
        <w:rPr>
          <w:color w:val="8E1055"/>
        </w:rPr>
        <w:t>Collecting a syringe of O</w:t>
      </w:r>
      <w:r w:rsidRPr="00362947">
        <w:rPr>
          <w:color w:val="8E1055"/>
          <w:vertAlign w:val="subscript"/>
        </w:rPr>
        <w:t>2</w:t>
      </w:r>
    </w:p>
    <w:p w14:paraId="06561ADE" w14:textId="4F08B11A" w:rsidR="00362947" w:rsidRPr="00362947" w:rsidRDefault="00362947" w:rsidP="00362947">
      <w:pPr>
        <w:pStyle w:val="RSCBasictext"/>
      </w:pPr>
      <w:r w:rsidRPr="00362947">
        <w:t xml:space="preserve">Many schools have a cylinder of </w:t>
      </w:r>
      <w:r w:rsidRPr="002050A4">
        <w:rPr>
          <w:rFonts w:ascii="Cambria Math" w:hAnsi="Cambria Math"/>
          <w:sz w:val="24"/>
          <w:szCs w:val="24"/>
        </w:rPr>
        <w:t>O</w:t>
      </w:r>
      <w:r w:rsidRPr="002050A4">
        <w:rPr>
          <w:rFonts w:ascii="Cambria Math" w:hAnsi="Cambria Math"/>
          <w:sz w:val="24"/>
          <w:szCs w:val="24"/>
          <w:vertAlign w:val="subscript"/>
        </w:rPr>
        <w:t>2</w:t>
      </w:r>
      <w:r w:rsidRPr="00362947">
        <w:t xml:space="preserve"> but if not use the Mattson technique </w:t>
      </w:r>
      <w:r w:rsidR="00D20529">
        <w:t xml:space="preserve">(figure 1) </w:t>
      </w:r>
      <w:r w:rsidRPr="00362947">
        <w:t>to make a syringe full. Repeat the procedure above with 0.05 g potassium iodide in the sample vial lid and 2 cm</w:t>
      </w:r>
      <w:r w:rsidRPr="00362947">
        <w:rPr>
          <w:vertAlign w:val="superscript"/>
        </w:rPr>
        <w:t>3</w:t>
      </w:r>
      <w:r w:rsidRPr="00362947">
        <w:t> of 20 vol hydrogen peroxide in the weighing boat. You won’t require a stop bath as the hydrogen peroxide is limiting. The reaction should generate around 40 cm</w:t>
      </w:r>
      <w:r w:rsidRPr="00362947">
        <w:rPr>
          <w:vertAlign w:val="superscript"/>
        </w:rPr>
        <w:t>3</w:t>
      </w:r>
      <w:r w:rsidRPr="00362947">
        <w:t> of gas with only 20 cm</w:t>
      </w:r>
      <w:r w:rsidRPr="00362947">
        <w:rPr>
          <w:vertAlign w:val="superscript"/>
        </w:rPr>
        <w:t>3</w:t>
      </w:r>
      <w:r w:rsidRPr="00362947">
        <w:t> required for the demonstration.</w:t>
      </w:r>
    </w:p>
    <w:p w14:paraId="30516FF8" w14:textId="77777777" w:rsidR="00362947" w:rsidRPr="00362947" w:rsidRDefault="00362947" w:rsidP="00362947">
      <w:pPr>
        <w:pStyle w:val="RSCBasictext"/>
      </w:pPr>
      <w:r w:rsidRPr="00362947">
        <w:t>Transfer at least 20 cm</w:t>
      </w:r>
      <w:r w:rsidRPr="00362947">
        <w:rPr>
          <w:vertAlign w:val="superscript"/>
        </w:rPr>
        <w:t>3</w:t>
      </w:r>
      <w:r w:rsidRPr="00362947">
        <w:t> of the oxygen gas to a clean, dry syringe and cap for later.</w:t>
      </w:r>
    </w:p>
    <w:p w14:paraId="2D49A6D1" w14:textId="36C3EEC0" w:rsidR="00362947" w:rsidRDefault="00362947" w:rsidP="00362947">
      <w:pPr>
        <w:pStyle w:val="RSCH3"/>
        <w:rPr>
          <w:color w:val="8E1055"/>
        </w:rPr>
      </w:pPr>
      <w:r w:rsidRPr="00362947">
        <w:rPr>
          <w:color w:val="8E1055"/>
        </w:rPr>
        <w:lastRenderedPageBreak/>
        <w:t>Preparing the apparatus</w:t>
      </w:r>
    </w:p>
    <w:p w14:paraId="750DF8BB" w14:textId="77777777" w:rsidR="005C15B3" w:rsidRPr="005C15B3" w:rsidRDefault="005C15B3" w:rsidP="005C15B3">
      <w:pPr>
        <w:pStyle w:val="RSCBasictext"/>
      </w:pPr>
      <w:r w:rsidRPr="005C15B3">
        <w:t xml:space="preserve">Swap the syringe cap on the syringe of </w:t>
      </w:r>
      <w:r w:rsidRPr="002050A4">
        <w:rPr>
          <w:rFonts w:ascii="Cambria Math" w:hAnsi="Cambria Math"/>
          <w:sz w:val="24"/>
          <w:szCs w:val="24"/>
        </w:rPr>
        <w:t>NO</w:t>
      </w:r>
      <w:r w:rsidRPr="002050A4">
        <w:rPr>
          <w:sz w:val="24"/>
          <w:szCs w:val="24"/>
        </w:rPr>
        <w:t xml:space="preserve"> </w:t>
      </w:r>
      <w:r w:rsidRPr="005C15B3">
        <w:t>for a three-way valve. Avoiding skin contact, expel excess gas through the valve until the syringe contains 40 cm</w:t>
      </w:r>
      <w:r w:rsidRPr="005C15B3">
        <w:rPr>
          <w:vertAlign w:val="superscript"/>
        </w:rPr>
        <w:t>3</w:t>
      </w:r>
      <w:r w:rsidRPr="005C15B3">
        <w:t xml:space="preserve"> of gaseous </w:t>
      </w:r>
      <w:r w:rsidRPr="002050A4">
        <w:rPr>
          <w:rFonts w:ascii="Cambria Math" w:hAnsi="Cambria Math"/>
          <w:sz w:val="24"/>
          <w:szCs w:val="24"/>
        </w:rPr>
        <w:t>NO</w:t>
      </w:r>
      <w:r w:rsidRPr="002050A4">
        <w:rPr>
          <w:sz w:val="24"/>
          <w:szCs w:val="24"/>
        </w:rPr>
        <w:t xml:space="preserve"> </w:t>
      </w:r>
      <w:r w:rsidRPr="005C15B3">
        <w:t xml:space="preserve">and close the tap. Depending on your three-way valve, you may require a section of tubing to fit the second syringe. If so, keep this tubing short. Remove the cap from the syringe of </w:t>
      </w:r>
      <w:r w:rsidRPr="002050A4">
        <w:rPr>
          <w:rFonts w:ascii="Cambria Math" w:hAnsi="Cambria Math"/>
          <w:sz w:val="24"/>
          <w:szCs w:val="24"/>
        </w:rPr>
        <w:t>O</w:t>
      </w:r>
      <w:r w:rsidRPr="002050A4">
        <w:rPr>
          <w:rFonts w:ascii="Cambria Math" w:hAnsi="Cambria Math"/>
          <w:sz w:val="24"/>
          <w:szCs w:val="24"/>
          <w:vertAlign w:val="subscript"/>
        </w:rPr>
        <w:t>2</w:t>
      </w:r>
      <w:r w:rsidRPr="005C15B3">
        <w:t>, add the tubing if required, and expel the gas until 20 cm</w:t>
      </w:r>
      <w:r w:rsidRPr="005C15B3">
        <w:rPr>
          <w:vertAlign w:val="superscript"/>
        </w:rPr>
        <w:t>3</w:t>
      </w:r>
      <w:r w:rsidRPr="005C15B3">
        <w:t> remains in the syringe. Connect the two syringes via the three-way valve. From this point, you can work outside of a fume cupboard in a well-ventilated room.</w:t>
      </w:r>
    </w:p>
    <w:p w14:paraId="1D49706F" w14:textId="5B96C7FB" w:rsidR="00362947" w:rsidRPr="00362947" w:rsidRDefault="005C15B3" w:rsidP="00362947">
      <w:pPr>
        <w:pStyle w:val="RSCBasictext"/>
      </w:pPr>
      <w:r w:rsidRPr="005C15B3">
        <w:t>If you have no three-way valve, you will need to connect the syringes in front of your audience via a short section of silicone tubing and continue to run the demonstration in a fume cupboard.</w:t>
      </w:r>
    </w:p>
    <w:p w14:paraId="2432261B" w14:textId="739B106A" w:rsidR="00054041" w:rsidRPr="00054041" w:rsidRDefault="00054041" w:rsidP="00054041">
      <w:pPr>
        <w:pStyle w:val="RSCH2"/>
        <w:rPr>
          <w:color w:val="8E1055"/>
        </w:rPr>
      </w:pPr>
      <w:r>
        <w:rPr>
          <w:color w:val="8E1055"/>
        </w:rPr>
        <w:t>In front of the class</w:t>
      </w:r>
    </w:p>
    <w:p w14:paraId="7358B757" w14:textId="77777777" w:rsidR="005C15B3" w:rsidRPr="005C15B3" w:rsidRDefault="005C15B3" w:rsidP="005C15B3">
      <w:pPr>
        <w:pStyle w:val="RSCBasictext"/>
      </w:pPr>
      <w:r w:rsidRPr="005C15B3">
        <w:t>Show the class the two syringes and point out the volumes. If you need to connect the syringes by a short section of silicone tubing, do so now.</w:t>
      </w:r>
    </w:p>
    <w:p w14:paraId="21F73828" w14:textId="7CE5B40B" w:rsidR="00054041" w:rsidRDefault="005C15B3" w:rsidP="001841A2">
      <w:pPr>
        <w:pStyle w:val="RSCBasictext"/>
      </w:pPr>
      <w:r w:rsidRPr="005C15B3">
        <w:t>Open any valves and carefully depress the plunger on one syringe, assisting the transfer by pulling from the other syringe. A brown gas forms and the total volume decreases until you’re left with exactly 40 cm</w:t>
      </w:r>
      <w:r w:rsidRPr="005C15B3">
        <w:rPr>
          <w:vertAlign w:val="superscript"/>
        </w:rPr>
        <w:t>3</w:t>
      </w:r>
      <w:r w:rsidRPr="005C15B3">
        <w:t> – 20cm</w:t>
      </w:r>
      <w:r w:rsidRPr="005C15B3">
        <w:rPr>
          <w:vertAlign w:val="superscript"/>
        </w:rPr>
        <w:t>3</w:t>
      </w:r>
      <w:r w:rsidRPr="005C15B3">
        <w:t> seems to have gone missing.</w:t>
      </w:r>
    </w:p>
    <w:p w14:paraId="3F794B3A" w14:textId="5C5ACBA5" w:rsidR="001841A2" w:rsidRPr="00054041" w:rsidRDefault="001841A2" w:rsidP="001841A2">
      <w:pPr>
        <w:pStyle w:val="RSCH2"/>
        <w:rPr>
          <w:color w:val="8E1055"/>
        </w:rPr>
      </w:pPr>
      <w:r>
        <w:rPr>
          <w:color w:val="8E1055"/>
        </w:rPr>
        <w:t>Teaching goal</w:t>
      </w:r>
    </w:p>
    <w:p w14:paraId="7F3EC2A4" w14:textId="041BEF7C" w:rsidR="00D00AB5" w:rsidRDefault="005C15B3" w:rsidP="001841A2">
      <w:pPr>
        <w:pStyle w:val="RSCBasictext"/>
      </w:pPr>
      <w:r w:rsidRPr="005C15B3">
        <w:t>Many post-16 specifications cover the application of Avogadro’s law – that equal numbers of moles of gas occupy the same volumes under the same conditions. Here three moles of gas (a total of 60 cm</w:t>
      </w:r>
      <w:r w:rsidRPr="005C15B3">
        <w:rPr>
          <w:vertAlign w:val="superscript"/>
        </w:rPr>
        <w:t>3</w:t>
      </w:r>
      <w:r w:rsidRPr="005C15B3">
        <w:t>) become two moles (a total of 40 cm</w:t>
      </w:r>
      <w:r w:rsidRPr="005C15B3">
        <w:rPr>
          <w:vertAlign w:val="superscript"/>
        </w:rPr>
        <w:t>3</w:t>
      </w:r>
      <w:r w:rsidRPr="005C15B3">
        <w:t>) – see equation 2 – and a dramatic colour change occurs.</w:t>
      </w:r>
    </w:p>
    <w:p w14:paraId="128B6563" w14:textId="77777777" w:rsidR="001232F2" w:rsidRDefault="001232F2" w:rsidP="001841A2">
      <w:pPr>
        <w:pStyle w:val="RSCBasictext"/>
      </w:pPr>
    </w:p>
    <w:p w14:paraId="626C4123" w14:textId="706ED15B" w:rsidR="005C15B3" w:rsidRDefault="005C15B3" w:rsidP="001841A2">
      <w:pPr>
        <w:pStyle w:val="RSCBasictext"/>
        <w:rPr>
          <w:rFonts w:ascii="Cambria Math" w:hAnsi="Cambria Math"/>
        </w:rPr>
      </w:pPr>
      <w:r w:rsidRPr="001232F2">
        <w:rPr>
          <w:rFonts w:ascii="Cambria Math" w:hAnsi="Cambria Math"/>
          <w:b/>
          <w:bCs/>
        </w:rPr>
        <w:t>Equation 2</w:t>
      </w:r>
      <w:r w:rsidRPr="001232F2">
        <w:rPr>
          <w:rFonts w:ascii="Cambria Math" w:hAnsi="Cambria Math"/>
        </w:rPr>
        <w:t xml:space="preserve">: </w:t>
      </w:r>
      <w:r w:rsidR="001232F2" w:rsidRPr="001232F2">
        <w:rPr>
          <w:rFonts w:ascii="Cambria Math" w:hAnsi="Cambria Math"/>
        </w:rPr>
        <w:t>2NO(g) + O</w:t>
      </w:r>
      <w:r w:rsidR="001232F2" w:rsidRPr="001232F2">
        <w:rPr>
          <w:rFonts w:ascii="Cambria Math" w:hAnsi="Cambria Math"/>
          <w:vertAlign w:val="subscript"/>
        </w:rPr>
        <w:t>2</w:t>
      </w:r>
      <w:r w:rsidR="001232F2" w:rsidRPr="001232F2">
        <w:rPr>
          <w:rFonts w:ascii="Cambria Math" w:hAnsi="Cambria Math"/>
        </w:rPr>
        <w:t>(g) → 2NO</w:t>
      </w:r>
      <w:r w:rsidR="001232F2" w:rsidRPr="001232F2">
        <w:rPr>
          <w:rFonts w:ascii="Cambria Math" w:hAnsi="Cambria Math"/>
          <w:vertAlign w:val="subscript"/>
        </w:rPr>
        <w:t>2</w:t>
      </w:r>
      <w:r w:rsidR="001232F2" w:rsidRPr="001232F2">
        <w:rPr>
          <w:rFonts w:ascii="Cambria Math" w:hAnsi="Cambria Math"/>
        </w:rPr>
        <w:t>(g)</w:t>
      </w:r>
    </w:p>
    <w:p w14:paraId="695F4E48" w14:textId="77777777" w:rsidR="001232F2" w:rsidRDefault="001232F2" w:rsidP="001841A2">
      <w:pPr>
        <w:pStyle w:val="RSCBasictext"/>
        <w:rPr>
          <w:rFonts w:ascii="Cambria Math" w:hAnsi="Cambria Math"/>
        </w:rPr>
      </w:pPr>
    </w:p>
    <w:p w14:paraId="44AF6065" w14:textId="74E82AC2" w:rsidR="001232F2" w:rsidRPr="001232F2" w:rsidRDefault="001232F2" w:rsidP="001232F2">
      <w:pPr>
        <w:pStyle w:val="RSCBasictext"/>
      </w:pPr>
      <w:r w:rsidRPr="001232F2">
        <w:t xml:space="preserve">To be able to follow the rate of reaction involving the production of </w:t>
      </w:r>
      <w:r w:rsidR="001D76EC">
        <w:t>nitrogen dioxide</w:t>
      </w:r>
      <w:r w:rsidRPr="001232F2">
        <w:t>, your learners need to know what it looks like. Come back soon for a demo involving the brown gas.</w:t>
      </w:r>
    </w:p>
    <w:sectPr w:rsidR="001232F2" w:rsidRPr="001232F2" w:rsidSect="00231C1C">
      <w:headerReference w:type="default" r:id="rId18"/>
      <w:footerReference w:type="default" r:id="rId19"/>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BDB1" w14:textId="77777777" w:rsidR="00226F8A" w:rsidRDefault="00226F8A" w:rsidP="008A1B0B">
      <w:pPr>
        <w:spacing w:after="0" w:line="240" w:lineRule="auto"/>
      </w:pPr>
      <w:r>
        <w:separator/>
      </w:r>
    </w:p>
  </w:endnote>
  <w:endnote w:type="continuationSeparator" w:id="0">
    <w:p w14:paraId="2E426921" w14:textId="77777777" w:rsidR="00226F8A" w:rsidRDefault="00226F8A"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7C60C361" w:rsidR="00231C1C" w:rsidRPr="00B226A7" w:rsidRDefault="00B226A7" w:rsidP="002F2A90">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815433">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w:t>
    </w:r>
    <w:r w:rsidR="00362CD9">
      <w:rPr>
        <w:rFonts w:ascii="Century Gothic" w:hAnsi="Century Gothic"/>
        <w:sz w:val="16"/>
        <w:szCs w:val="16"/>
      </w:rPr>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3E4A" w14:textId="77777777" w:rsidR="00226F8A" w:rsidRDefault="00226F8A" w:rsidP="008A1B0B">
      <w:pPr>
        <w:spacing w:after="0" w:line="240" w:lineRule="auto"/>
      </w:pPr>
      <w:r>
        <w:separator/>
      </w:r>
    </w:p>
  </w:footnote>
  <w:footnote w:type="continuationSeparator" w:id="0">
    <w:p w14:paraId="639AF7E1" w14:textId="77777777" w:rsidR="00226F8A" w:rsidRDefault="00226F8A"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346EAABC" w:rsidR="008A1B0B" w:rsidRDefault="00104CB2" w:rsidP="008D7A53">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03C1906C" wp14:editId="4BC43DF0">
          <wp:simplePos x="0" y="0"/>
          <wp:positionH relativeFrom="column">
            <wp:posOffset>-542925</wp:posOffset>
          </wp:positionH>
          <wp:positionV relativeFrom="paragraph">
            <wp:posOffset>40640</wp:posOffset>
          </wp:positionV>
          <wp:extent cx="2160905" cy="36258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0905" cy="362585"/>
                  </a:xfrm>
                  <a:prstGeom prst="rect">
                    <a:avLst/>
                  </a:prstGeom>
                </pic:spPr>
              </pic:pic>
            </a:graphicData>
          </a:graphic>
        </wp:anchor>
      </w:drawing>
    </w:r>
    <w:r w:rsidR="008D7A53" w:rsidRPr="00DF7826">
      <w:rPr>
        <w:rFonts w:ascii="Century Gothic" w:hAnsi="Century Gothic"/>
        <w:b/>
        <w:bCs/>
        <w:noProof/>
        <w:color w:val="991E66"/>
        <w:sz w:val="30"/>
        <w:szCs w:val="30"/>
      </w:rPr>
      <w:drawing>
        <wp:anchor distT="0" distB="0" distL="114300" distR="114300" simplePos="0" relativeHeight="251658241" behindDoc="0" locked="0" layoutInCell="1" allowOverlap="1" wp14:anchorId="6E755D66" wp14:editId="1B89F19B">
          <wp:simplePos x="0" y="0"/>
          <wp:positionH relativeFrom="column">
            <wp:posOffset>-540385</wp:posOffset>
          </wp:positionH>
          <wp:positionV relativeFrom="paragraph">
            <wp:posOffset>36195</wp:posOffset>
          </wp:positionV>
          <wp:extent cx="1789200" cy="356400"/>
          <wp:effectExtent l="0" t="0" r="1905" b="571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FF76A3" w:rsidRPr="00DF7826">
      <w:rPr>
        <w:rFonts w:ascii="Century Gothic" w:hAnsi="Century Gothic"/>
        <w:b/>
        <w:bCs/>
        <w:noProof/>
        <w:color w:val="991E66"/>
        <w:sz w:val="30"/>
        <w:szCs w:val="30"/>
      </w:rPr>
      <w:drawing>
        <wp:anchor distT="0" distB="0" distL="114300" distR="114300" simplePos="0" relativeHeight="251658240" behindDoc="1" locked="0" layoutInCell="1" allowOverlap="1" wp14:anchorId="119FB73F" wp14:editId="2536E388">
          <wp:simplePos x="0" y="0"/>
          <wp:positionH relativeFrom="column">
            <wp:posOffset>-927101</wp:posOffset>
          </wp:positionH>
          <wp:positionV relativeFrom="paragraph">
            <wp:posOffset>-267335</wp:posOffset>
          </wp:positionV>
          <wp:extent cx="7569919" cy="1071245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0222" cy="10727030"/>
                  </a:xfrm>
                  <a:prstGeom prst="rect">
                    <a:avLst/>
                  </a:prstGeom>
                </pic:spPr>
              </pic:pic>
            </a:graphicData>
          </a:graphic>
          <wp14:sizeRelH relativeFrom="page">
            <wp14:pctWidth>0</wp14:pctWidth>
          </wp14:sizeRelH>
          <wp14:sizeRelV relativeFrom="page">
            <wp14:pctHeight>0</wp14:pctHeight>
          </wp14:sizeRelV>
        </wp:anchor>
      </w:drawing>
    </w:r>
    <w:r w:rsidR="00071B48">
      <w:rPr>
        <w:rFonts w:ascii="Century Gothic" w:hAnsi="Century Gothic"/>
        <w:b/>
        <w:bCs/>
        <w:color w:val="991E66"/>
        <w:sz w:val="30"/>
        <w:szCs w:val="30"/>
      </w:rPr>
      <w:t xml:space="preserve">Exhibition </w:t>
    </w:r>
    <w:r w:rsidR="00071B48" w:rsidRPr="00B63F7E">
      <w:rPr>
        <w:rFonts w:ascii="Century Gothic" w:hAnsi="Century Gothic"/>
        <w:b/>
        <w:bCs/>
        <w:color w:val="991E66"/>
        <w:sz w:val="30"/>
        <w:szCs w:val="30"/>
      </w:rPr>
      <w:t>chemistry</w:t>
    </w:r>
    <w:r w:rsidR="00557BF2" w:rsidRPr="00DF7826">
      <w:rPr>
        <w:rFonts w:ascii="Century Gothic" w:hAnsi="Century Gothic"/>
        <w:b/>
        <w:bCs/>
        <w:color w:val="FF0000"/>
        <w:sz w:val="24"/>
        <w:szCs w:val="24"/>
      </w:rPr>
      <w:t xml:space="preserve"> </w:t>
    </w:r>
  </w:p>
  <w:p w14:paraId="014B122C" w14:textId="59D3C60C" w:rsidR="00557BF2" w:rsidRPr="00557BF2" w:rsidRDefault="00DC0D9C" w:rsidP="00FF76A3">
    <w:pPr>
      <w:spacing w:after="86"/>
      <w:ind w:right="-850"/>
      <w:jc w:val="right"/>
      <w:rPr>
        <w:rFonts w:ascii="Century Gothic" w:hAnsi="Century Gothic"/>
        <w:b/>
        <w:bCs/>
        <w:color w:val="004976"/>
        <w:sz w:val="18"/>
        <w:szCs w:val="18"/>
      </w:rPr>
    </w:pPr>
    <w:r>
      <w:rPr>
        <w:rFonts w:ascii="Century Gothic" w:hAnsi="Century Gothic"/>
        <w:b/>
        <w:bCs/>
        <w:color w:val="000000" w:themeColor="text1"/>
        <w:sz w:val="18"/>
        <w:szCs w:val="18"/>
      </w:rPr>
      <w:t>Available</w:t>
    </w:r>
    <w:r w:rsidR="008B34F9">
      <w:rPr>
        <w:rFonts w:ascii="Century Gothic" w:hAnsi="Century Gothic"/>
        <w:b/>
        <w:bCs/>
        <w:color w:val="000000" w:themeColor="text1"/>
        <w:sz w:val="18"/>
        <w:szCs w:val="18"/>
      </w:rPr>
      <w:t xml:space="preserve"> from</w:t>
    </w:r>
    <w:r w:rsidR="00557BF2" w:rsidRPr="00A56431">
      <w:rPr>
        <w:rFonts w:ascii="Century Gothic" w:hAnsi="Century Gothic"/>
        <w:b/>
        <w:bCs/>
        <w:color w:val="000000" w:themeColor="text1"/>
        <w:sz w:val="18"/>
        <w:szCs w:val="18"/>
      </w:rPr>
      <w:t xml:space="preserve"> </w:t>
    </w:r>
    <w:hyperlink r:id="rId4" w:history="1">
      <w:r w:rsidR="0040160A" w:rsidRPr="0040160A">
        <w:rPr>
          <w:rStyle w:val="Hyperlink"/>
          <w:rFonts w:ascii="Century Gothic" w:hAnsi="Century Gothic"/>
          <w:b/>
          <w:bCs/>
          <w:color w:val="8E1055"/>
          <w:sz w:val="18"/>
          <w:szCs w:val="18"/>
        </w:rPr>
        <w:t>rsc.li/43sA4Ug</w:t>
      </w:r>
    </w:hyperlink>
    <w:r w:rsidR="0040160A">
      <w:rPr>
        <w:rFonts w:ascii="Century Gothic" w:hAnsi="Century Gothic"/>
        <w:b/>
        <w:bCs/>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72F4"/>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D2F0EE26"/>
    <w:lvl w:ilvl="0" w:tplc="C0E83496">
      <w:start w:val="1"/>
      <w:numFmt w:val="bullet"/>
      <w:pStyle w:val="RSCBulletedlist"/>
      <w:lvlText w:val=""/>
      <w:lvlJc w:val="left"/>
      <w:pPr>
        <w:ind w:left="363" w:hanging="363"/>
      </w:pPr>
      <w:rPr>
        <w:rFonts w:ascii="Symbol" w:hAnsi="Symbol" w:hint="default"/>
        <w:color w:val="8E1055"/>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01881FC8"/>
    <w:lvl w:ilvl="0" w:tplc="B6AC983E">
      <w:start w:val="1"/>
      <w:numFmt w:val="decimal"/>
      <w:pStyle w:val="RSCnumberedlist"/>
      <w:lvlText w:val="%1."/>
      <w:lvlJc w:val="left"/>
      <w:pPr>
        <w:ind w:left="360" w:hanging="360"/>
      </w:pPr>
      <w:rPr>
        <w:rFonts w:ascii="Century Gothic" w:hAnsi="Century Gothic" w:hint="default"/>
        <w:b/>
        <w:i w:val="0"/>
        <w:color w:val="004976"/>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8EF02762"/>
    <w:lvl w:ilvl="0" w:tplc="BEE61F6A">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A6AD2C4"/>
    <w:lvl w:ilvl="0" w:tplc="44E8C560">
      <w:start w:val="1"/>
      <w:numFmt w:val="decimal"/>
      <w:pStyle w:val="RSCLearningobjectives"/>
      <w:lvlText w:val="%1"/>
      <w:lvlJc w:val="left"/>
      <w:pPr>
        <w:ind w:left="476" w:hanging="476"/>
      </w:pPr>
      <w:rPr>
        <w:rFonts w:ascii="Century Gothic" w:eastAsiaTheme="minorHAnsi" w:hAnsi="Century Gothic" w:cs="Arial"/>
        <w:b/>
        <w:i w:val="0"/>
        <w:color w:val="00497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D2538"/>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6127D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F55A3C"/>
    <w:multiLevelType w:val="hybridMultilevel"/>
    <w:tmpl w:val="EC92222E"/>
    <w:lvl w:ilvl="0" w:tplc="8CC26048">
      <w:start w:val="1"/>
      <w:numFmt w:val="bullet"/>
      <w:lvlText w:val=""/>
      <w:lvlJc w:val="left"/>
      <w:pPr>
        <w:ind w:left="720" w:hanging="360"/>
      </w:pPr>
      <w:rPr>
        <w:rFonts w:ascii="Symbol" w:hAnsi="Symbol" w:hint="default"/>
        <w:color w:val="991E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7D34E4"/>
    <w:multiLevelType w:val="hybridMultilevel"/>
    <w:tmpl w:val="5A40AD10"/>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36F0B44"/>
    <w:multiLevelType w:val="hybridMultilevel"/>
    <w:tmpl w:val="FA6CAFA4"/>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A153E8"/>
    <w:multiLevelType w:val="multilevel"/>
    <w:tmpl w:val="636A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810684F"/>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793E90"/>
    <w:multiLevelType w:val="hybridMultilevel"/>
    <w:tmpl w:val="74F43388"/>
    <w:lvl w:ilvl="0" w:tplc="8CC26048">
      <w:start w:val="1"/>
      <w:numFmt w:val="bullet"/>
      <w:lvlText w:val=""/>
      <w:lvlJc w:val="left"/>
      <w:pPr>
        <w:ind w:left="363" w:hanging="363"/>
      </w:pPr>
      <w:rPr>
        <w:rFonts w:ascii="Symbol" w:hAnsi="Symbol" w:hint="default"/>
        <w:color w:val="991E66" w:themeColor="accen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10605598">
    <w:abstractNumId w:val="21"/>
  </w:num>
  <w:num w:numId="2" w16cid:durableId="46608390">
    <w:abstractNumId w:val="10"/>
  </w:num>
  <w:num w:numId="3" w16cid:durableId="767046158">
    <w:abstractNumId w:val="5"/>
  </w:num>
  <w:num w:numId="4" w16cid:durableId="1754862014">
    <w:abstractNumId w:val="8"/>
  </w:num>
  <w:num w:numId="5" w16cid:durableId="522865220">
    <w:abstractNumId w:val="18"/>
  </w:num>
  <w:num w:numId="6" w16cid:durableId="1092093063">
    <w:abstractNumId w:val="20"/>
  </w:num>
  <w:num w:numId="7" w16cid:durableId="1042751722">
    <w:abstractNumId w:val="1"/>
  </w:num>
  <w:num w:numId="8" w16cid:durableId="339281078">
    <w:abstractNumId w:val="4"/>
  </w:num>
  <w:num w:numId="9" w16cid:durableId="166483661">
    <w:abstractNumId w:val="3"/>
  </w:num>
  <w:num w:numId="10" w16cid:durableId="739593575">
    <w:abstractNumId w:val="2"/>
  </w:num>
  <w:num w:numId="11" w16cid:durableId="1035690940">
    <w:abstractNumId w:val="11"/>
  </w:num>
  <w:num w:numId="12" w16cid:durableId="1470199975">
    <w:abstractNumId w:val="2"/>
    <w:lvlOverride w:ilvl="0">
      <w:startOverride w:val="1"/>
    </w:lvlOverride>
  </w:num>
  <w:num w:numId="13" w16cid:durableId="1479612613">
    <w:abstractNumId w:val="17"/>
  </w:num>
  <w:num w:numId="14" w16cid:durableId="1674912029">
    <w:abstractNumId w:val="14"/>
  </w:num>
  <w:num w:numId="15" w16cid:durableId="2099716115">
    <w:abstractNumId w:val="9"/>
  </w:num>
  <w:num w:numId="16" w16cid:durableId="649024404">
    <w:abstractNumId w:val="0"/>
  </w:num>
  <w:num w:numId="17" w16cid:durableId="1550605262">
    <w:abstractNumId w:val="6"/>
  </w:num>
  <w:num w:numId="18" w16cid:durableId="181480924">
    <w:abstractNumId w:val="7"/>
  </w:num>
  <w:num w:numId="19" w16cid:durableId="2003771580">
    <w:abstractNumId w:val="3"/>
    <w:lvlOverride w:ilvl="0">
      <w:startOverride w:val="1"/>
    </w:lvlOverride>
  </w:num>
  <w:num w:numId="20" w16cid:durableId="2139297354">
    <w:abstractNumId w:val="19"/>
  </w:num>
  <w:num w:numId="21" w16cid:durableId="1368411444">
    <w:abstractNumId w:val="1"/>
  </w:num>
  <w:num w:numId="22" w16cid:durableId="1597057039">
    <w:abstractNumId w:val="15"/>
  </w:num>
  <w:num w:numId="23" w16cid:durableId="1359821052">
    <w:abstractNumId w:val="12"/>
  </w:num>
  <w:num w:numId="24" w16cid:durableId="1433546299">
    <w:abstractNumId w:val="22"/>
  </w:num>
  <w:num w:numId="25" w16cid:durableId="987248214">
    <w:abstractNumId w:val="13"/>
  </w:num>
  <w:num w:numId="26" w16cid:durableId="8873019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0624"/>
    <w:rsid w:val="00002067"/>
    <w:rsid w:val="00022B65"/>
    <w:rsid w:val="00046615"/>
    <w:rsid w:val="00054041"/>
    <w:rsid w:val="0005730B"/>
    <w:rsid w:val="00071B48"/>
    <w:rsid w:val="000878DA"/>
    <w:rsid w:val="00087C7B"/>
    <w:rsid w:val="0009292F"/>
    <w:rsid w:val="000B0210"/>
    <w:rsid w:val="000B0FE6"/>
    <w:rsid w:val="000D59CE"/>
    <w:rsid w:val="000E6E48"/>
    <w:rsid w:val="000F042C"/>
    <w:rsid w:val="00104CB2"/>
    <w:rsid w:val="001232F2"/>
    <w:rsid w:val="00142949"/>
    <w:rsid w:val="00146FCD"/>
    <w:rsid w:val="00147637"/>
    <w:rsid w:val="001530E3"/>
    <w:rsid w:val="00170732"/>
    <w:rsid w:val="00180C62"/>
    <w:rsid w:val="001841A2"/>
    <w:rsid w:val="00194B88"/>
    <w:rsid w:val="001A1989"/>
    <w:rsid w:val="001A278F"/>
    <w:rsid w:val="001D1067"/>
    <w:rsid w:val="001D76EC"/>
    <w:rsid w:val="002050A4"/>
    <w:rsid w:val="00220429"/>
    <w:rsid w:val="00226F8A"/>
    <w:rsid w:val="002304A7"/>
    <w:rsid w:val="00231C1C"/>
    <w:rsid w:val="002549BE"/>
    <w:rsid w:val="00255470"/>
    <w:rsid w:val="00260D45"/>
    <w:rsid w:val="002A1C1D"/>
    <w:rsid w:val="002A2C9D"/>
    <w:rsid w:val="002A3C79"/>
    <w:rsid w:val="002B06C9"/>
    <w:rsid w:val="002B10CB"/>
    <w:rsid w:val="002C2223"/>
    <w:rsid w:val="002D34BA"/>
    <w:rsid w:val="002E47CA"/>
    <w:rsid w:val="002F2A90"/>
    <w:rsid w:val="002F35A3"/>
    <w:rsid w:val="003012A1"/>
    <w:rsid w:val="003059AB"/>
    <w:rsid w:val="003066BC"/>
    <w:rsid w:val="00307510"/>
    <w:rsid w:val="00331499"/>
    <w:rsid w:val="00335AF1"/>
    <w:rsid w:val="00362947"/>
    <w:rsid w:val="00362CD9"/>
    <w:rsid w:val="003716B9"/>
    <w:rsid w:val="00383A44"/>
    <w:rsid w:val="003979ED"/>
    <w:rsid w:val="003B7300"/>
    <w:rsid w:val="003C643A"/>
    <w:rsid w:val="003D453E"/>
    <w:rsid w:val="003D6657"/>
    <w:rsid w:val="003F3B0F"/>
    <w:rsid w:val="0040160A"/>
    <w:rsid w:val="00414DC8"/>
    <w:rsid w:val="0044650F"/>
    <w:rsid w:val="00446F05"/>
    <w:rsid w:val="0046389A"/>
    <w:rsid w:val="00485CEA"/>
    <w:rsid w:val="0048754D"/>
    <w:rsid w:val="004C58A4"/>
    <w:rsid w:val="004C6BE3"/>
    <w:rsid w:val="004F30E6"/>
    <w:rsid w:val="00512B6D"/>
    <w:rsid w:val="00516F80"/>
    <w:rsid w:val="0052289F"/>
    <w:rsid w:val="00533765"/>
    <w:rsid w:val="00534E77"/>
    <w:rsid w:val="0055336A"/>
    <w:rsid w:val="00557BF2"/>
    <w:rsid w:val="005718A5"/>
    <w:rsid w:val="005A5001"/>
    <w:rsid w:val="005B4286"/>
    <w:rsid w:val="005B435C"/>
    <w:rsid w:val="005B4AFE"/>
    <w:rsid w:val="005C15B3"/>
    <w:rsid w:val="005E1668"/>
    <w:rsid w:val="005F286E"/>
    <w:rsid w:val="0061529D"/>
    <w:rsid w:val="00623DCE"/>
    <w:rsid w:val="00624764"/>
    <w:rsid w:val="00666348"/>
    <w:rsid w:val="006820BE"/>
    <w:rsid w:val="006B6CE5"/>
    <w:rsid w:val="006D6EDD"/>
    <w:rsid w:val="006D790E"/>
    <w:rsid w:val="006E13FB"/>
    <w:rsid w:val="007042E5"/>
    <w:rsid w:val="00747E9A"/>
    <w:rsid w:val="00747FE6"/>
    <w:rsid w:val="00761046"/>
    <w:rsid w:val="0077600A"/>
    <w:rsid w:val="007A08F5"/>
    <w:rsid w:val="007B56F2"/>
    <w:rsid w:val="007F2926"/>
    <w:rsid w:val="00803338"/>
    <w:rsid w:val="00806092"/>
    <w:rsid w:val="00815433"/>
    <w:rsid w:val="0081721A"/>
    <w:rsid w:val="00820D9B"/>
    <w:rsid w:val="00835B9C"/>
    <w:rsid w:val="00862463"/>
    <w:rsid w:val="0086564F"/>
    <w:rsid w:val="0086752D"/>
    <w:rsid w:val="00875355"/>
    <w:rsid w:val="008835B8"/>
    <w:rsid w:val="0089187A"/>
    <w:rsid w:val="00893B8E"/>
    <w:rsid w:val="00893F3D"/>
    <w:rsid w:val="008A1B0B"/>
    <w:rsid w:val="008A2002"/>
    <w:rsid w:val="008B34F9"/>
    <w:rsid w:val="008B54F1"/>
    <w:rsid w:val="008C0D3A"/>
    <w:rsid w:val="008D7A53"/>
    <w:rsid w:val="008F30C2"/>
    <w:rsid w:val="00905E09"/>
    <w:rsid w:val="009272D0"/>
    <w:rsid w:val="00942047"/>
    <w:rsid w:val="009A6718"/>
    <w:rsid w:val="009B11C0"/>
    <w:rsid w:val="009B778D"/>
    <w:rsid w:val="009C580B"/>
    <w:rsid w:val="009F3F26"/>
    <w:rsid w:val="00A13442"/>
    <w:rsid w:val="00A166AB"/>
    <w:rsid w:val="00A35AD9"/>
    <w:rsid w:val="00A5348B"/>
    <w:rsid w:val="00A571EB"/>
    <w:rsid w:val="00A5740C"/>
    <w:rsid w:val="00A614BE"/>
    <w:rsid w:val="00A66284"/>
    <w:rsid w:val="00A725C3"/>
    <w:rsid w:val="00A9373B"/>
    <w:rsid w:val="00AA2485"/>
    <w:rsid w:val="00AC2CD1"/>
    <w:rsid w:val="00AE7FE7"/>
    <w:rsid w:val="00AF74A9"/>
    <w:rsid w:val="00B00C1B"/>
    <w:rsid w:val="00B226A7"/>
    <w:rsid w:val="00B23FFF"/>
    <w:rsid w:val="00B30A6E"/>
    <w:rsid w:val="00B32882"/>
    <w:rsid w:val="00B63F7E"/>
    <w:rsid w:val="00B67A03"/>
    <w:rsid w:val="00B71E66"/>
    <w:rsid w:val="00B96606"/>
    <w:rsid w:val="00BA3729"/>
    <w:rsid w:val="00BC47F6"/>
    <w:rsid w:val="00BF659D"/>
    <w:rsid w:val="00C1703F"/>
    <w:rsid w:val="00C17B00"/>
    <w:rsid w:val="00C43346"/>
    <w:rsid w:val="00C65BEB"/>
    <w:rsid w:val="00CA2DF6"/>
    <w:rsid w:val="00CD3159"/>
    <w:rsid w:val="00CD3907"/>
    <w:rsid w:val="00CD5E3C"/>
    <w:rsid w:val="00CE0B91"/>
    <w:rsid w:val="00CF6E3E"/>
    <w:rsid w:val="00D00AB5"/>
    <w:rsid w:val="00D16FC5"/>
    <w:rsid w:val="00D17CC0"/>
    <w:rsid w:val="00D2043F"/>
    <w:rsid w:val="00D20529"/>
    <w:rsid w:val="00D45D99"/>
    <w:rsid w:val="00D60D30"/>
    <w:rsid w:val="00D969A2"/>
    <w:rsid w:val="00DC0D9C"/>
    <w:rsid w:val="00DD432E"/>
    <w:rsid w:val="00DF000D"/>
    <w:rsid w:val="00DF2064"/>
    <w:rsid w:val="00DF7826"/>
    <w:rsid w:val="00E05B33"/>
    <w:rsid w:val="00E55522"/>
    <w:rsid w:val="00E65859"/>
    <w:rsid w:val="00E95B6C"/>
    <w:rsid w:val="00E95DE4"/>
    <w:rsid w:val="00EC7EFF"/>
    <w:rsid w:val="00F06555"/>
    <w:rsid w:val="00F3727E"/>
    <w:rsid w:val="00F42369"/>
    <w:rsid w:val="00F74583"/>
    <w:rsid w:val="00F80ECB"/>
    <w:rsid w:val="00F939D5"/>
    <w:rsid w:val="00FC3B24"/>
    <w:rsid w:val="00FF44DB"/>
    <w:rsid w:val="00FF7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30A6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A13442"/>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numbering" w:customStyle="1" w:styleId="CurrentList4">
    <w:name w:val="Current List4"/>
    <w:uiPriority w:val="99"/>
    <w:rsid w:val="00B30A6E"/>
    <w:pPr>
      <w:numPr>
        <w:numId w:val="16"/>
      </w:numPr>
    </w:pPr>
  </w:style>
  <w:style w:type="numbering" w:customStyle="1" w:styleId="CurrentList5">
    <w:name w:val="Current List5"/>
    <w:uiPriority w:val="99"/>
    <w:rsid w:val="00B30A6E"/>
    <w:pPr>
      <w:numPr>
        <w:numId w:val="17"/>
      </w:numPr>
    </w:pPr>
  </w:style>
  <w:style w:type="numbering" w:customStyle="1" w:styleId="CurrentList6">
    <w:name w:val="Current List6"/>
    <w:uiPriority w:val="99"/>
    <w:rsid w:val="00B30A6E"/>
    <w:pPr>
      <w:numPr>
        <w:numId w:val="18"/>
      </w:numPr>
    </w:pPr>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39"/>
    <w:rsid w:val="00D00AB5"/>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pPr>
      <w:numPr>
        <w:numId w:val="20"/>
      </w:numPr>
    </w:pPr>
  </w:style>
  <w:style w:type="character" w:styleId="UnresolvedMention">
    <w:name w:val="Unresolved Mention"/>
    <w:basedOn w:val="DefaultParagraphFont"/>
    <w:uiPriority w:val="99"/>
    <w:semiHidden/>
    <w:unhideWhenUsed/>
    <w:rsid w:val="00905E09"/>
    <w:rPr>
      <w:color w:val="605E5C"/>
      <w:shd w:val="clear" w:color="auto" w:fill="E1DFDD"/>
    </w:rPr>
  </w:style>
  <w:style w:type="character" w:styleId="IntenseEmphasis">
    <w:name w:val="Intense Emphasis"/>
    <w:basedOn w:val="DefaultParagraphFont"/>
    <w:uiPriority w:val="21"/>
    <w:qFormat/>
    <w:rsid w:val="005A5001"/>
    <w:rPr>
      <w:i/>
      <w:iCs/>
      <w:color w:val="991E66" w:themeColor="accent1"/>
    </w:rPr>
  </w:style>
  <w:style w:type="paragraph" w:customStyle="1" w:styleId="Standard">
    <w:name w:val="Standard"/>
    <w:uiPriority w:val="99"/>
    <w:semiHidden/>
    <w:rsid w:val="00071B48"/>
    <w:pPr>
      <w:suppressAutoHyphens/>
      <w:autoSpaceDN w:val="0"/>
      <w:spacing w:line="252" w:lineRule="auto"/>
    </w:pPr>
    <w:rPr>
      <w:rFonts w:ascii="Calibri" w:eastAsia="Calibri" w:hAnsi="Calibri" w:cs="Tahoma"/>
    </w:rPr>
  </w:style>
  <w:style w:type="character" w:styleId="CommentReference">
    <w:name w:val="annotation reference"/>
    <w:basedOn w:val="DefaultParagraphFont"/>
    <w:uiPriority w:val="99"/>
    <w:semiHidden/>
    <w:unhideWhenUsed/>
    <w:rsid w:val="00000624"/>
    <w:rPr>
      <w:sz w:val="16"/>
      <w:szCs w:val="16"/>
    </w:rPr>
  </w:style>
  <w:style w:type="paragraph" w:styleId="CommentText0">
    <w:name w:val="annotation text"/>
    <w:basedOn w:val="Normal"/>
    <w:link w:val="CommentTextChar"/>
    <w:uiPriority w:val="99"/>
    <w:unhideWhenUsed/>
    <w:rsid w:val="00000624"/>
    <w:pPr>
      <w:spacing w:line="240" w:lineRule="auto"/>
    </w:pPr>
  </w:style>
  <w:style w:type="character" w:customStyle="1" w:styleId="CommentTextChar">
    <w:name w:val="Comment Text Char"/>
    <w:basedOn w:val="DefaultParagraphFont"/>
    <w:link w:val="CommentText0"/>
    <w:uiPriority w:val="99"/>
    <w:rsid w:val="0000062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000624"/>
    <w:rPr>
      <w:b/>
      <w:bCs/>
    </w:rPr>
  </w:style>
  <w:style w:type="character" w:customStyle="1" w:styleId="CommentSubjectChar">
    <w:name w:val="Comment Subject Char"/>
    <w:basedOn w:val="CommentTextChar"/>
    <w:link w:val="CommentSubject"/>
    <w:uiPriority w:val="99"/>
    <w:semiHidden/>
    <w:rsid w:val="00000624"/>
    <w:rPr>
      <w:rFonts w:ascii="Arial" w:hAnsi="Arial" w:cs="Arial"/>
      <w:b/>
      <w:bCs/>
      <w:sz w:val="20"/>
      <w:szCs w:val="20"/>
      <w:lang w:eastAsia="zh-CN"/>
    </w:rPr>
  </w:style>
  <w:style w:type="paragraph" w:styleId="Subtitle">
    <w:name w:val="Subtitle"/>
    <w:basedOn w:val="Normal"/>
    <w:next w:val="Normal"/>
    <w:link w:val="SubtitleChar"/>
    <w:uiPriority w:val="11"/>
    <w:qFormat/>
    <w:rsid w:val="0022042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20429"/>
    <w:rPr>
      <w:rFonts w:eastAsiaTheme="minorEastAsia"/>
      <w:color w:val="5A5A5A" w:themeColor="text1" w:themeTint="A5"/>
      <w:spacing w:val="15"/>
      <w:lang w:eastAsia="zh-CN"/>
    </w:rPr>
  </w:style>
  <w:style w:type="character" w:styleId="FollowedHyperlink">
    <w:name w:val="FollowedHyperlink"/>
    <w:basedOn w:val="DefaultParagraphFont"/>
    <w:uiPriority w:val="99"/>
    <w:semiHidden/>
    <w:unhideWhenUsed/>
    <w:rsid w:val="009B11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3941">
      <w:bodyDiv w:val="1"/>
      <w:marLeft w:val="0"/>
      <w:marRight w:val="0"/>
      <w:marTop w:val="0"/>
      <w:marBottom w:val="0"/>
      <w:divBdr>
        <w:top w:val="none" w:sz="0" w:space="0" w:color="auto"/>
        <w:left w:val="none" w:sz="0" w:space="0" w:color="auto"/>
        <w:bottom w:val="none" w:sz="0" w:space="0" w:color="auto"/>
        <w:right w:val="none" w:sz="0" w:space="0" w:color="auto"/>
      </w:divBdr>
    </w:div>
    <w:div w:id="96678071">
      <w:bodyDiv w:val="1"/>
      <w:marLeft w:val="0"/>
      <w:marRight w:val="0"/>
      <w:marTop w:val="0"/>
      <w:marBottom w:val="0"/>
      <w:divBdr>
        <w:top w:val="none" w:sz="0" w:space="0" w:color="auto"/>
        <w:left w:val="none" w:sz="0" w:space="0" w:color="auto"/>
        <w:bottom w:val="none" w:sz="0" w:space="0" w:color="auto"/>
        <w:right w:val="none" w:sz="0" w:space="0" w:color="auto"/>
      </w:divBdr>
    </w:div>
    <w:div w:id="109714405">
      <w:bodyDiv w:val="1"/>
      <w:marLeft w:val="0"/>
      <w:marRight w:val="0"/>
      <w:marTop w:val="0"/>
      <w:marBottom w:val="0"/>
      <w:divBdr>
        <w:top w:val="none" w:sz="0" w:space="0" w:color="auto"/>
        <w:left w:val="none" w:sz="0" w:space="0" w:color="auto"/>
        <w:bottom w:val="none" w:sz="0" w:space="0" w:color="auto"/>
        <w:right w:val="none" w:sz="0" w:space="0" w:color="auto"/>
      </w:divBdr>
    </w:div>
    <w:div w:id="160512593">
      <w:bodyDiv w:val="1"/>
      <w:marLeft w:val="0"/>
      <w:marRight w:val="0"/>
      <w:marTop w:val="0"/>
      <w:marBottom w:val="0"/>
      <w:divBdr>
        <w:top w:val="none" w:sz="0" w:space="0" w:color="auto"/>
        <w:left w:val="none" w:sz="0" w:space="0" w:color="auto"/>
        <w:bottom w:val="none" w:sz="0" w:space="0" w:color="auto"/>
        <w:right w:val="none" w:sz="0" w:space="0" w:color="auto"/>
      </w:divBdr>
    </w:div>
    <w:div w:id="253906636">
      <w:bodyDiv w:val="1"/>
      <w:marLeft w:val="0"/>
      <w:marRight w:val="0"/>
      <w:marTop w:val="0"/>
      <w:marBottom w:val="0"/>
      <w:divBdr>
        <w:top w:val="none" w:sz="0" w:space="0" w:color="auto"/>
        <w:left w:val="none" w:sz="0" w:space="0" w:color="auto"/>
        <w:bottom w:val="none" w:sz="0" w:space="0" w:color="auto"/>
        <w:right w:val="none" w:sz="0" w:space="0" w:color="auto"/>
      </w:divBdr>
    </w:div>
    <w:div w:id="357050312">
      <w:bodyDiv w:val="1"/>
      <w:marLeft w:val="0"/>
      <w:marRight w:val="0"/>
      <w:marTop w:val="0"/>
      <w:marBottom w:val="0"/>
      <w:divBdr>
        <w:top w:val="none" w:sz="0" w:space="0" w:color="auto"/>
        <w:left w:val="none" w:sz="0" w:space="0" w:color="auto"/>
        <w:bottom w:val="none" w:sz="0" w:space="0" w:color="auto"/>
        <w:right w:val="none" w:sz="0" w:space="0" w:color="auto"/>
      </w:divBdr>
    </w:div>
    <w:div w:id="431436676">
      <w:bodyDiv w:val="1"/>
      <w:marLeft w:val="0"/>
      <w:marRight w:val="0"/>
      <w:marTop w:val="0"/>
      <w:marBottom w:val="0"/>
      <w:divBdr>
        <w:top w:val="none" w:sz="0" w:space="0" w:color="auto"/>
        <w:left w:val="none" w:sz="0" w:space="0" w:color="auto"/>
        <w:bottom w:val="none" w:sz="0" w:space="0" w:color="auto"/>
        <w:right w:val="none" w:sz="0" w:space="0" w:color="auto"/>
      </w:divBdr>
    </w:div>
    <w:div w:id="525564777">
      <w:bodyDiv w:val="1"/>
      <w:marLeft w:val="0"/>
      <w:marRight w:val="0"/>
      <w:marTop w:val="0"/>
      <w:marBottom w:val="0"/>
      <w:divBdr>
        <w:top w:val="none" w:sz="0" w:space="0" w:color="auto"/>
        <w:left w:val="none" w:sz="0" w:space="0" w:color="auto"/>
        <w:bottom w:val="none" w:sz="0" w:space="0" w:color="auto"/>
        <w:right w:val="none" w:sz="0" w:space="0" w:color="auto"/>
      </w:divBdr>
    </w:div>
    <w:div w:id="629946404">
      <w:bodyDiv w:val="1"/>
      <w:marLeft w:val="0"/>
      <w:marRight w:val="0"/>
      <w:marTop w:val="0"/>
      <w:marBottom w:val="0"/>
      <w:divBdr>
        <w:top w:val="none" w:sz="0" w:space="0" w:color="auto"/>
        <w:left w:val="none" w:sz="0" w:space="0" w:color="auto"/>
        <w:bottom w:val="none" w:sz="0" w:space="0" w:color="auto"/>
        <w:right w:val="none" w:sz="0" w:space="0" w:color="auto"/>
      </w:divBdr>
    </w:div>
    <w:div w:id="713578213">
      <w:bodyDiv w:val="1"/>
      <w:marLeft w:val="0"/>
      <w:marRight w:val="0"/>
      <w:marTop w:val="0"/>
      <w:marBottom w:val="0"/>
      <w:divBdr>
        <w:top w:val="none" w:sz="0" w:space="0" w:color="auto"/>
        <w:left w:val="none" w:sz="0" w:space="0" w:color="auto"/>
        <w:bottom w:val="none" w:sz="0" w:space="0" w:color="auto"/>
        <w:right w:val="none" w:sz="0" w:space="0" w:color="auto"/>
      </w:divBdr>
    </w:div>
    <w:div w:id="818183212">
      <w:bodyDiv w:val="1"/>
      <w:marLeft w:val="0"/>
      <w:marRight w:val="0"/>
      <w:marTop w:val="0"/>
      <w:marBottom w:val="0"/>
      <w:divBdr>
        <w:top w:val="none" w:sz="0" w:space="0" w:color="auto"/>
        <w:left w:val="none" w:sz="0" w:space="0" w:color="auto"/>
        <w:bottom w:val="none" w:sz="0" w:space="0" w:color="auto"/>
        <w:right w:val="none" w:sz="0" w:space="0" w:color="auto"/>
      </w:divBdr>
    </w:div>
    <w:div w:id="1252394981">
      <w:bodyDiv w:val="1"/>
      <w:marLeft w:val="0"/>
      <w:marRight w:val="0"/>
      <w:marTop w:val="0"/>
      <w:marBottom w:val="0"/>
      <w:divBdr>
        <w:top w:val="none" w:sz="0" w:space="0" w:color="auto"/>
        <w:left w:val="none" w:sz="0" w:space="0" w:color="auto"/>
        <w:bottom w:val="none" w:sz="0" w:space="0" w:color="auto"/>
        <w:right w:val="none" w:sz="0" w:space="0" w:color="auto"/>
      </w:divBdr>
    </w:div>
    <w:div w:id="1420105242">
      <w:bodyDiv w:val="1"/>
      <w:marLeft w:val="0"/>
      <w:marRight w:val="0"/>
      <w:marTop w:val="0"/>
      <w:marBottom w:val="0"/>
      <w:divBdr>
        <w:top w:val="none" w:sz="0" w:space="0" w:color="auto"/>
        <w:left w:val="none" w:sz="0" w:space="0" w:color="auto"/>
        <w:bottom w:val="none" w:sz="0" w:space="0" w:color="auto"/>
        <w:right w:val="none" w:sz="0" w:space="0" w:color="auto"/>
      </w:divBdr>
    </w:div>
    <w:div w:id="1483816828">
      <w:bodyDiv w:val="1"/>
      <w:marLeft w:val="0"/>
      <w:marRight w:val="0"/>
      <w:marTop w:val="0"/>
      <w:marBottom w:val="0"/>
      <w:divBdr>
        <w:top w:val="none" w:sz="0" w:space="0" w:color="auto"/>
        <w:left w:val="none" w:sz="0" w:space="0" w:color="auto"/>
        <w:bottom w:val="none" w:sz="0" w:space="0" w:color="auto"/>
        <w:right w:val="none" w:sz="0" w:space="0" w:color="auto"/>
      </w:divBdr>
    </w:div>
    <w:div w:id="1701737004">
      <w:bodyDiv w:val="1"/>
      <w:marLeft w:val="0"/>
      <w:marRight w:val="0"/>
      <w:marTop w:val="0"/>
      <w:marBottom w:val="0"/>
      <w:divBdr>
        <w:top w:val="none" w:sz="0" w:space="0" w:color="auto"/>
        <w:left w:val="none" w:sz="0" w:space="0" w:color="auto"/>
        <w:bottom w:val="none" w:sz="0" w:space="0" w:color="auto"/>
        <w:right w:val="none" w:sz="0" w:space="0" w:color="auto"/>
      </w:divBdr>
    </w:div>
    <w:div w:id="2014214789">
      <w:bodyDiv w:val="1"/>
      <w:marLeft w:val="0"/>
      <w:marRight w:val="0"/>
      <w:marTop w:val="0"/>
      <w:marBottom w:val="0"/>
      <w:divBdr>
        <w:top w:val="none" w:sz="0" w:space="0" w:color="auto"/>
        <w:left w:val="none" w:sz="0" w:space="0" w:color="auto"/>
        <w:bottom w:val="none" w:sz="0" w:space="0" w:color="auto"/>
        <w:right w:val="none" w:sz="0" w:space="0" w:color="auto"/>
      </w:divBdr>
    </w:div>
    <w:div w:id="2044135007">
      <w:bodyDiv w:val="1"/>
      <w:marLeft w:val="0"/>
      <w:marRight w:val="0"/>
      <w:marTop w:val="0"/>
      <w:marBottom w:val="0"/>
      <w:divBdr>
        <w:top w:val="none" w:sz="0" w:space="0" w:color="auto"/>
        <w:left w:val="none" w:sz="0" w:space="0" w:color="auto"/>
        <w:bottom w:val="none" w:sz="0" w:space="0" w:color="auto"/>
        <w:right w:val="none" w:sz="0" w:space="0" w:color="auto"/>
      </w:divBdr>
    </w:div>
    <w:div w:id="2058387142">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706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sc.li/4qo2AQJ"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bit.ly/47tDhUV"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bit.ly/47mZhk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3sA4Ug" TargetMode="External"/><Relationship Id="rId5" Type="http://schemas.openxmlformats.org/officeDocument/2006/relationships/numbering" Target="numbering.xml"/><Relationship Id="rId15" Type="http://schemas.openxmlformats.org/officeDocument/2006/relationships/hyperlink" Target="http://bit.ly/4hNLM1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t.ly/4hNLE2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rsc.li/43sA4Ug" TargetMode="External"/></Relationships>
</file>

<file path=word/theme/theme1.xml><?xml version="1.0" encoding="utf-8"?>
<a:theme xmlns:a="http://schemas.openxmlformats.org/drawingml/2006/main" name="Office Theme">
  <a:themeElements>
    <a:clrScheme name="EiC plum">
      <a:dk1>
        <a:sysClr val="windowText" lastClr="000000"/>
      </a:dk1>
      <a:lt1>
        <a:sysClr val="window" lastClr="FFFFFF"/>
      </a:lt1>
      <a:dk2>
        <a:srgbClr val="44546A"/>
      </a:dk2>
      <a:lt2>
        <a:srgbClr val="E7E6E6"/>
      </a:lt2>
      <a:accent1>
        <a:srgbClr val="991E6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03df1-f625-401d-870a-accd1b2b7593">
      <Value>33</Value>
      <Value>30</Value>
      <Value>46</Value>
      <Value>12</Value>
      <Value>7</Value>
      <Value>52</Value>
      <Value>51</Value>
    </TaxCatchAll>
    <lcf76f155ced4ddcb4097134ff3c332f xmlns="61f0da82-2578-483f-a9dc-d31970063fa6">
      <Terms xmlns="http://schemas.microsoft.com/office/infopath/2007/PartnerControls"/>
    </lcf76f155ced4ddcb4097134ff3c332f>
    <n7b504db7a1f4121af62d7dde2f43036 xmlns="61f0da82-2578-483f-a9dc-d31970063fa6">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6f01d4b6-f8a8-4b3c-8e47-a0b2d31f46b9</TermId>
        </TermInfo>
      </Terms>
    </n7b504db7a1f4121af62d7dde2f43036>
    <b9de0c3256d748e284af5b40895c1451 xmlns="61f0da82-2578-483f-a9dc-d31970063fa6">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d2840a79-f070-44ee-81f4-348f0646ea6c</TermId>
        </TermInfo>
        <TermInfo xmlns="http://schemas.microsoft.com/office/infopath/2007/PartnerControls">
          <TermName xmlns="http://schemas.microsoft.com/office/infopath/2007/PartnerControls">Microsoft</TermName>
          <TermId xmlns="http://schemas.microsoft.com/office/infopath/2007/PartnerControls">5319c3b5-4685-430a-80f5-bcbc3f84cc85</TermId>
        </TermInfo>
      </Terms>
    </b9de0c3256d748e284af5b40895c1451>
    <b569b86bd8fd46f693512e8bddacb3f6 xmlns="61f0da82-2578-483f-a9dc-d31970063fa6">
      <Terms xmlns="http://schemas.microsoft.com/office/infopath/2007/PartnerControls">
        <TermInfo xmlns="http://schemas.microsoft.com/office/infopath/2007/PartnerControls">
          <TermName xmlns="http://schemas.microsoft.com/office/infopath/2007/PartnerControls">Technician Notes</TermName>
          <TermId xmlns="http://schemas.microsoft.com/office/infopath/2007/PartnerControls">afafb102-19b7-4874-b073-d04e9c6822ef</TermId>
        </TermInfo>
      </Terms>
    </b569b86bd8fd46f693512e8bddacb3f6>
    <i10d55677a0f46eeb3909f8b19131c80 xmlns="61f0da82-2578-483f-a9dc-d31970063fa6">
      <Terms xmlns="http://schemas.microsoft.com/office/infopath/2007/PartnerControls">
        <TermInfo xmlns="http://schemas.microsoft.com/office/infopath/2007/PartnerControls">
          <TermName xmlns="http://schemas.microsoft.com/office/infopath/2007/PartnerControls">Education in Chemistry</TermName>
          <TermId xmlns="http://schemas.microsoft.com/office/infopath/2007/PartnerControls">88c676fb-4f12-4aea-9455-9b66df1d1cf1</TermId>
        </TermInfo>
      </Terms>
    </i10d55677a0f46eeb3909f8b19131c80>
    <d5ec952c3671439b9c1b97dc2ac5212f xmlns="61f0da82-2578-483f-a9dc-d31970063fa6">
      <Terms xmlns="http://schemas.microsoft.com/office/infopath/2007/PartnerControls">
        <TermInfo xmlns="http://schemas.microsoft.com/office/infopath/2007/PartnerControls">
          <TermName xmlns="http://schemas.microsoft.com/office/infopath/2007/PartnerControls">January</TermName>
          <TermId xmlns="http://schemas.microsoft.com/office/infopath/2007/PartnerControls">b634972c-2679-4a86-9647-df19ada2b0e0</TermId>
        </TermInfo>
        <TermInfo xmlns="http://schemas.microsoft.com/office/infopath/2007/PartnerControls">
          <TermName xmlns="http://schemas.microsoft.com/office/infopath/2007/PartnerControls">2026</TermName>
          <TermId xmlns="http://schemas.microsoft.com/office/infopath/2007/PartnerControls">7e6aac3d-800f-4302-944f-6a5eec8e3838</TermId>
        </TermInfo>
      </Terms>
    </d5ec952c3671439b9c1b97dc2ac521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7D5CA3E2267642B95400476F97BAA6" ma:contentTypeVersion="22" ma:contentTypeDescription="Create a new document." ma:contentTypeScope="" ma:versionID="890eaba2e096ce35da5997ce3822543b">
  <xsd:schema xmlns:xsd="http://www.w3.org/2001/XMLSchema" xmlns:xs="http://www.w3.org/2001/XMLSchema" xmlns:p="http://schemas.microsoft.com/office/2006/metadata/properties" xmlns:ns2="61f0da82-2578-483f-a9dc-d31970063fa6" xmlns:ns3="44303df1-f625-401d-870a-accd1b2b7593" targetNamespace="http://schemas.microsoft.com/office/2006/metadata/properties" ma:root="true" ma:fieldsID="a3b3b2afac0e32c8af92edb3021ef657" ns2:_="" ns3:_="">
    <xsd:import namespace="61f0da82-2578-483f-a9dc-d31970063fa6"/>
    <xsd:import namespace="44303df1-f625-401d-870a-accd1b2b7593"/>
    <xsd:element name="properties">
      <xsd:complexType>
        <xsd:sequence>
          <xsd:element name="documentManagement">
            <xsd:complexType>
              <xsd:all>
                <xsd:element ref="ns2:n7b504db7a1f4121af62d7dde2f43036" minOccurs="0"/>
                <xsd:element ref="ns3:TaxCatchAll" minOccurs="0"/>
                <xsd:element ref="ns2:b569b86bd8fd46f693512e8bddacb3f6" minOccurs="0"/>
                <xsd:element ref="ns2:b9de0c3256d748e284af5b40895c1451" minOccurs="0"/>
                <xsd:element ref="ns2:i10d55677a0f46eeb3909f8b19131c80" minOccurs="0"/>
                <xsd:element ref="ns2:d5ec952c3671439b9c1b97dc2ac5212f"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0da82-2578-483f-a9dc-d31970063fa6" elementFormDefault="qualified">
    <xsd:import namespace="http://schemas.microsoft.com/office/2006/documentManagement/types"/>
    <xsd:import namespace="http://schemas.microsoft.com/office/infopath/2007/PartnerControls"/>
    <xsd:element name="n7b504db7a1f4121af62d7dde2f43036" ma:index="9" ma:taxonomy="true" ma:internalName="n7b504db7a1f4121af62d7dde2f43036" ma:taxonomyFieldName="Directorate_x002f_Team_x002f_Function" ma:displayName="Directorate/Team/Function" ma:default="" ma:fieldId="{77b504db-7a1f-4121-af62-d7dde2f43036}" ma:taxonomyMulti="true" ma:sspId="acd698d5-2c6c-40f3-87af-cb5c6c865f62" ma:termSetId="6f21a7af-7e80-4763-b0f3-f88080127d59" ma:anchorId="00000000-0000-0000-0000-000000000000" ma:open="false" ma:isKeyword="false">
      <xsd:complexType>
        <xsd:sequence>
          <xsd:element ref="pc:Terms" minOccurs="0" maxOccurs="1"/>
        </xsd:sequence>
      </xsd:complexType>
    </xsd:element>
    <xsd:element name="b569b86bd8fd46f693512e8bddacb3f6" ma:index="12" ma:taxonomy="true" ma:internalName="b569b86bd8fd46f693512e8bddacb3f6" ma:taxonomyFieldName="Document_x0020_Type" ma:displayName="Document Type" ma:default="" ma:fieldId="{b569b86b-d8fd-46f6-9351-2e8bddacb3f6}" ma:taxonomyMulti="true" ma:sspId="acd698d5-2c6c-40f3-87af-cb5c6c865f62" ma:termSetId="0e861dca-3791-4471-a8b5-1ac06fdd1e89" ma:anchorId="00000000-0000-0000-0000-000000000000" ma:open="false" ma:isKeyword="false">
      <xsd:complexType>
        <xsd:sequence>
          <xsd:element ref="pc:Terms" minOccurs="0" maxOccurs="1"/>
        </xsd:sequence>
      </xsd:complexType>
    </xsd:element>
    <xsd:element name="b9de0c3256d748e284af5b40895c1451" ma:index="14" ma:taxonomy="true" ma:internalName="b9de0c3256d748e284af5b40895c1451" ma:taxonomyFieldName="Platform_x002f_Software" ma:displayName="Platform/Software" ma:default="" ma:fieldId="{b9de0c32-56d7-48e2-84af-5b40895c1451}" ma:taxonomyMulti="true" ma:sspId="acd698d5-2c6c-40f3-87af-cb5c6c865f62" ma:termSetId="5ec93098-1380-4d9d-a407-4f2fa6590381" ma:anchorId="00000000-0000-0000-0000-000000000000" ma:open="false" ma:isKeyword="false">
      <xsd:complexType>
        <xsd:sequence>
          <xsd:element ref="pc:Terms" minOccurs="0" maxOccurs="1"/>
        </xsd:sequence>
      </xsd:complexType>
    </xsd:element>
    <xsd:element name="i10d55677a0f46eeb3909f8b19131c80" ma:index="16" ma:taxonomy="true" ma:internalName="i10d55677a0f46eeb3909f8b19131c80" ma:taxonomyFieldName="Project_x002f_Product" ma:displayName="Project/Product" ma:default="" ma:fieldId="{210d5567-7a0f-46ee-b390-9f8b19131c80}" ma:taxonomyMulti="true" ma:sspId="acd698d5-2c6c-40f3-87af-cb5c6c865f62" ma:termSetId="b5afdfc8-a30d-4e9f-963f-82651d355fa4" ma:anchorId="00000000-0000-0000-0000-000000000000" ma:open="false" ma:isKeyword="false">
      <xsd:complexType>
        <xsd:sequence>
          <xsd:element ref="pc:Terms" minOccurs="0" maxOccurs="1"/>
        </xsd:sequence>
      </xsd:complexType>
    </xsd:element>
    <xsd:element name="d5ec952c3671439b9c1b97dc2ac5212f" ma:index="18" ma:taxonomy="true" ma:internalName="d5ec952c3671439b9c1b97dc2ac5212f" ma:taxonomyFieldName="Watchword" ma:displayName="Watchword" ma:default="" ma:fieldId="{d5ec952c-3671-439b-9c1b-97dc2ac5212f}" ma:taxonomyMulti="true" ma:sspId="acd698d5-2c6c-40f3-87af-cb5c6c865f62" ma:termSetId="1f8212ee-fa5e-40cf-a106-3e9510d6c62d" ma:anchorId="00000000-0000-0000-0000-000000000000" ma:open="false" ma:isKeyword="false">
      <xsd:complexType>
        <xsd:sequence>
          <xsd:element ref="pc:Terms" minOccurs="0" maxOccurs="1"/>
        </xsd:sequence>
      </xsd:complex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303df1-f625-401d-870a-accd1b2b75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519040-3cf5-4337-a4d6-3c4812ac86d8}" ma:internalName="TaxCatchAll" ma:showField="CatchAllData" ma:web="44303df1-f625-401d-870a-accd1b2b75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37FAA5-0849-4990-B06C-F1A9AC7F2246}">
  <ds:schemaRefs>
    <ds:schemaRef ds:uri="http://schemas.microsoft.com/office/2006/metadata/properties"/>
    <ds:schemaRef ds:uri="http://schemas.microsoft.com/office/infopath/2007/PartnerControls"/>
    <ds:schemaRef ds:uri="44303df1-f625-401d-870a-accd1b2b7593"/>
    <ds:schemaRef ds:uri="61f0da82-2578-483f-a9dc-d31970063fa6"/>
  </ds:schemaRefs>
</ds:datastoreItem>
</file>

<file path=customXml/itemProps2.xml><?xml version="1.0" encoding="utf-8"?>
<ds:datastoreItem xmlns:ds="http://schemas.openxmlformats.org/officeDocument/2006/customXml" ds:itemID="{92EB8393-8B52-455D-A40E-A3FD6AE6B2EA}">
  <ds:schemaRefs>
    <ds:schemaRef ds:uri="http://schemas.microsoft.com/sharepoint/v3/contenttype/forms"/>
  </ds:schemaRefs>
</ds:datastoreItem>
</file>

<file path=customXml/itemProps3.xml><?xml version="1.0" encoding="utf-8"?>
<ds:datastoreItem xmlns:ds="http://schemas.openxmlformats.org/officeDocument/2006/customXml" ds:itemID="{6114BEB7-6C57-4F20-AD56-590B2E4485F1}">
  <ds:schemaRefs>
    <ds:schemaRef ds:uri="http://schemas.openxmlformats.org/officeDocument/2006/bibliography"/>
  </ds:schemaRefs>
</ds:datastoreItem>
</file>

<file path=customXml/itemProps4.xml><?xml version="1.0" encoding="utf-8"?>
<ds:datastoreItem xmlns:ds="http://schemas.openxmlformats.org/officeDocument/2006/customXml" ds:itemID="{909982CB-1593-4493-A97F-BAEA91BD6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0da82-2578-483f-a9dc-d31970063fa6"/>
    <ds:schemaRef ds:uri="44303df1-f625-401d-870a-accd1b2b7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1215</Words>
  <Characters>5933</Characters>
  <Application>Microsoft Office Word</Application>
  <DocSecurity>0</DocSecurity>
  <Lines>123</Lines>
  <Paragraphs>61</Paragraphs>
  <ScaleCrop>false</ScaleCrop>
  <HeadingPairs>
    <vt:vector size="2" baseType="variant">
      <vt:variant>
        <vt:lpstr>Title</vt:lpstr>
      </vt:variant>
      <vt:variant>
        <vt:i4>1</vt:i4>
      </vt:variant>
    </vt:vector>
  </HeadingPairs>
  <TitlesOfParts>
    <vt:vector size="1" baseType="lpstr">
      <vt:lpstr>Avogadro’s law revisited technician notes</vt:lpstr>
    </vt:vector>
  </TitlesOfParts>
  <Manager/>
  <Company>Royal Society of Chemistry</Company>
  <LinksUpToDate>false</LinksUpToDate>
  <CharactersWithSpaces>7087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Avogadro’s law revisited technician notes</dc:title>
  <dc:subject/>
  <dc:creator>Royal Society of Chemistry</dc:creator>
  <cp:keywords>Avogadro’s law, nitrogen oxides, bonding, oxidation states, rates of reaction, acid-base chemistry, equilibria, stoichiometry,  nitrogen monoxide, oxygen, nitrogen dioxide gas</cp:keywords>
  <dc:description>From Avogadro’s law revisited, https://rsc.li/43sA4Ug, in Education in Chemistry</dc:description>
  <cp:lastModifiedBy>Georgia Murphy</cp:lastModifiedBy>
  <cp:revision>12</cp:revision>
  <dcterms:created xsi:type="dcterms:W3CDTF">2025-10-30T11:51:00Z</dcterms:created>
  <dcterms:modified xsi:type="dcterms:W3CDTF">2025-10-30T14:07:00Z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0x010100287D5CA3E2267642B95400476F97BAA6</vt:lpwstr>
  </property>
  <property fmtid="{D5CDD505-2E9C-101B-9397-08002B2CF9AE}" pid="3" name="MediaServiceImageTags">
    <vt:lpwstr/>
  </property>
  <property fmtid="{D5CDD505-2E9C-101B-9397-08002B2CF9AE}" pid="4" name="Project/Product">
    <vt:lpwstr>33;#Education in Chemistry|88c676fb-4f12-4aea-9455-9b66df1d1cf1</vt:lpwstr>
  </property>
  <property fmtid="{D5CDD505-2E9C-101B-9397-08002B2CF9AE}" pid="5" name="Document_x0020_Type">
    <vt:lpwstr>46;#Technician Notes|afafb102-19b7-4874-b073-d04e9c6822ef</vt:lpwstr>
  </property>
  <property fmtid="{D5CDD505-2E9C-101B-9397-08002B2CF9AE}" pid="6" name="Directorate/Team/Function">
    <vt:lpwstr>7;#Education|6f01d4b6-f8a8-4b3c-8e47-a0b2d31f46b9</vt:lpwstr>
  </property>
  <property fmtid="{D5CDD505-2E9C-101B-9397-08002B2CF9AE}" pid="7" name="Platform_x002f_Software">
    <vt:lpwstr>30;#Education|d2840a79-f070-44ee-81f4-348f0646ea6c;#12;#Microsoft|5319c3b5-4685-430a-80f5-bcbc3f84cc85</vt:lpwstr>
  </property>
  <property fmtid="{D5CDD505-2E9C-101B-9397-08002B2CF9AE}" pid="8" name="Watchword">
    <vt:lpwstr>51;#January|b634972c-2679-4a86-9647-df19ada2b0e0;#52;#2026|7e6aac3d-800f-4302-944f-6a5eec8e3838</vt:lpwstr>
  </property>
  <property fmtid="{D5CDD505-2E9C-101B-9397-08002B2CF9AE}" pid="9" name="Project_x002f_Product">
    <vt:lpwstr>33;#Education in Chemistry|88c676fb-4f12-4aea-9455-9b66df1d1cf1</vt:lpwstr>
  </property>
  <property fmtid="{D5CDD505-2E9C-101B-9397-08002B2CF9AE}" pid="10" name="Directorate_x002f_Team_x002f_Function">
    <vt:lpwstr>7;#Education|6f01d4b6-f8a8-4b3c-8e47-a0b2d31f46b9</vt:lpwstr>
  </property>
  <property fmtid="{D5CDD505-2E9C-101B-9397-08002B2CF9AE}" pid="11" name="Platform/Software">
    <vt:lpwstr>30;#Education|d2840a79-f070-44ee-81f4-348f0646ea6c;#12;#Microsoft|5319c3b5-4685-430a-80f5-bcbc3f84cc85</vt:lpwstr>
  </property>
  <property fmtid="{D5CDD505-2E9C-101B-9397-08002B2CF9AE}" pid="12" name="Document Type">
    <vt:lpwstr>46;#Technician Notes|afafb102-19b7-4874-b073-d04e9c6822ef</vt:lpwstr>
  </property>
</Properties>
</file>